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D1A0" w14:textId="77777777" w:rsidR="0074763F" w:rsidRDefault="0074763F" w:rsidP="00301EB4">
      <w:pPr>
        <w:spacing w:before="120" w:after="0"/>
        <w:jc w:val="center"/>
        <w:rPr>
          <w:b/>
          <w:bCs/>
          <w:sz w:val="24"/>
          <w:szCs w:val="24"/>
        </w:rPr>
      </w:pPr>
      <w:r w:rsidRPr="0074763F">
        <w:rPr>
          <w:b/>
          <w:bCs/>
          <w:sz w:val="24"/>
          <w:szCs w:val="24"/>
        </w:rPr>
        <w:t>ANEXO V</w:t>
      </w:r>
      <w:r w:rsidR="00C27DD7">
        <w:rPr>
          <w:b/>
          <w:bCs/>
          <w:sz w:val="24"/>
          <w:szCs w:val="24"/>
        </w:rPr>
        <w:t>I</w:t>
      </w:r>
    </w:p>
    <w:p w14:paraId="5356AAC9" w14:textId="77777777" w:rsidR="0074763F" w:rsidRPr="0074763F" w:rsidRDefault="0074763F" w:rsidP="00301EB4">
      <w:pPr>
        <w:spacing w:before="120" w:after="0"/>
        <w:jc w:val="center"/>
        <w:rPr>
          <w:b/>
          <w:bCs/>
          <w:sz w:val="24"/>
          <w:szCs w:val="24"/>
        </w:rPr>
      </w:pPr>
    </w:p>
    <w:p w14:paraId="3EE2BBAF" w14:textId="77777777" w:rsidR="006A7F12" w:rsidRPr="0074763F" w:rsidRDefault="0076420E" w:rsidP="00301EB4">
      <w:pPr>
        <w:spacing w:before="120" w:after="0"/>
        <w:jc w:val="center"/>
        <w:rPr>
          <w:rFonts w:ascii="Arial Narrow" w:hAnsi="Arial Narrow"/>
          <w:sz w:val="24"/>
          <w:szCs w:val="24"/>
        </w:rPr>
      </w:pPr>
      <w:r w:rsidRPr="0074763F">
        <w:rPr>
          <w:rFonts w:ascii="Arial Narrow" w:hAnsi="Arial Narrow"/>
          <w:b/>
          <w:bCs/>
          <w:sz w:val="24"/>
          <w:szCs w:val="24"/>
        </w:rPr>
        <w:t xml:space="preserve">Definição dos </w:t>
      </w:r>
      <w:r w:rsidR="006A7F12" w:rsidRPr="0074763F">
        <w:rPr>
          <w:rFonts w:ascii="Arial Narrow" w:hAnsi="Arial Narrow"/>
          <w:b/>
          <w:bCs/>
          <w:sz w:val="24"/>
          <w:szCs w:val="24"/>
        </w:rPr>
        <w:t>Critérios de Seleção</w:t>
      </w:r>
    </w:p>
    <w:p w14:paraId="1B46FA2C" w14:textId="77777777" w:rsidR="00650E96" w:rsidRPr="0074763F" w:rsidRDefault="00650E96" w:rsidP="0074763F">
      <w:pPr>
        <w:spacing w:before="120" w:after="0" w:line="320" w:lineRule="atLeast"/>
        <w:jc w:val="both"/>
        <w:rPr>
          <w:rFonts w:ascii="Arial Narrow" w:hAnsi="Arial Narrow"/>
          <w:bCs/>
          <w:sz w:val="20"/>
          <w:szCs w:val="20"/>
        </w:rPr>
      </w:pPr>
      <w:r w:rsidRPr="0074763F">
        <w:rPr>
          <w:rFonts w:ascii="Arial Narrow" w:hAnsi="Arial Narrow"/>
          <w:bCs/>
          <w:sz w:val="20"/>
          <w:szCs w:val="20"/>
        </w:rPr>
        <w:t xml:space="preserve">Os critérios de seleção para as operações candidatas </w:t>
      </w:r>
      <w:r w:rsidR="00CD3682" w:rsidRPr="0074763F">
        <w:rPr>
          <w:rFonts w:ascii="Arial Narrow" w:hAnsi="Arial Narrow"/>
          <w:bCs/>
          <w:sz w:val="20"/>
          <w:szCs w:val="20"/>
        </w:rPr>
        <w:t xml:space="preserve">à tipologia de investimento identificada serão aplicados após o cumprimento pelas operações de um conjunto </w:t>
      </w:r>
      <w:r w:rsidR="00513563" w:rsidRPr="0074763F">
        <w:rPr>
          <w:rFonts w:ascii="Arial Narrow" w:hAnsi="Arial Narrow"/>
          <w:bCs/>
          <w:sz w:val="20"/>
          <w:szCs w:val="20"/>
        </w:rPr>
        <w:t>específico</w:t>
      </w:r>
      <w:r w:rsidR="00CD3682" w:rsidRPr="0074763F">
        <w:rPr>
          <w:rFonts w:ascii="Arial Narrow" w:hAnsi="Arial Narrow"/>
          <w:bCs/>
          <w:sz w:val="20"/>
          <w:szCs w:val="20"/>
        </w:rPr>
        <w:t xml:space="preserve"> de requisitos decorrentes de normas comunitárias para a aplicação desta prioridade nos programas operacionais na admissão dos projetos, os quais, sem prejuízo de serem desenvolvidos e identificados no respetivo Aviso, apresentam-se também neste documento em anexo.</w:t>
      </w:r>
    </w:p>
    <w:p w14:paraId="0CF83C69" w14:textId="77777777" w:rsidR="00487406" w:rsidRPr="0074763F" w:rsidRDefault="00650E96" w:rsidP="0074763F">
      <w:pPr>
        <w:spacing w:before="120" w:after="0" w:line="320" w:lineRule="atLeast"/>
        <w:jc w:val="both"/>
        <w:rPr>
          <w:rFonts w:ascii="Arial Narrow" w:hAnsi="Arial Narrow"/>
          <w:bCs/>
          <w:sz w:val="20"/>
          <w:szCs w:val="20"/>
        </w:rPr>
      </w:pPr>
      <w:r w:rsidRPr="0074763F">
        <w:rPr>
          <w:rFonts w:ascii="Arial Narrow" w:hAnsi="Arial Narrow"/>
          <w:bCs/>
          <w:sz w:val="20"/>
          <w:szCs w:val="20"/>
        </w:rPr>
        <w:t>Os critérios de seleção para as operações candidatas</w:t>
      </w:r>
      <w:r w:rsidR="0076420E" w:rsidRPr="0074763F">
        <w:rPr>
          <w:rFonts w:ascii="Arial Narrow" w:hAnsi="Arial Narrow"/>
          <w:bCs/>
          <w:sz w:val="20"/>
          <w:szCs w:val="20"/>
        </w:rPr>
        <w:t xml:space="preserve"> à tipologia de investimento </w:t>
      </w:r>
      <w:r w:rsidR="0069285B" w:rsidRPr="0074763F">
        <w:rPr>
          <w:rFonts w:ascii="Arial Narrow" w:hAnsi="Arial Narrow"/>
          <w:bCs/>
          <w:sz w:val="20"/>
          <w:szCs w:val="20"/>
        </w:rPr>
        <w:t xml:space="preserve">acima identificada </w:t>
      </w:r>
      <w:r w:rsidR="00C627AA" w:rsidRPr="0074763F">
        <w:rPr>
          <w:rFonts w:ascii="Arial Narrow" w:hAnsi="Arial Narrow"/>
          <w:bCs/>
          <w:sz w:val="20"/>
          <w:szCs w:val="20"/>
        </w:rPr>
        <w:t>do objetivo específico</w:t>
      </w:r>
      <w:r w:rsidRPr="0074763F">
        <w:rPr>
          <w:rFonts w:ascii="Arial Narrow" w:hAnsi="Arial Narrow"/>
          <w:bCs/>
          <w:sz w:val="20"/>
          <w:szCs w:val="20"/>
        </w:rPr>
        <w:t xml:space="preserve"> 4</w:t>
      </w:r>
      <w:r w:rsidR="00AC40F9" w:rsidRPr="0074763F">
        <w:rPr>
          <w:rFonts w:ascii="Arial Narrow" w:hAnsi="Arial Narrow"/>
          <w:bCs/>
          <w:sz w:val="20"/>
          <w:szCs w:val="20"/>
        </w:rPr>
        <w:t xml:space="preserve">.3.1 - </w:t>
      </w:r>
      <w:r w:rsidRPr="0074763F">
        <w:rPr>
          <w:rFonts w:ascii="Arial Narrow" w:hAnsi="Arial Narrow"/>
          <w:bCs/>
          <w:sz w:val="20"/>
          <w:szCs w:val="20"/>
        </w:rPr>
        <w:t xml:space="preserve">Aumentar a eficiência energética nas infraestruturas públicas e nas habitações apoiando a implementação de medidas de eficiência energética </w:t>
      </w:r>
      <w:r w:rsidR="00AC40F9" w:rsidRPr="0074763F">
        <w:rPr>
          <w:rFonts w:ascii="Arial Narrow" w:hAnsi="Arial Narrow"/>
          <w:bCs/>
          <w:sz w:val="20"/>
          <w:szCs w:val="20"/>
        </w:rPr>
        <w:t>(FEDER)</w:t>
      </w:r>
      <w:r w:rsidR="00C627AA" w:rsidRPr="0074763F">
        <w:rPr>
          <w:rFonts w:ascii="Arial Narrow" w:hAnsi="Arial Narrow"/>
          <w:bCs/>
          <w:sz w:val="20"/>
          <w:szCs w:val="20"/>
        </w:rPr>
        <w:t>, s</w:t>
      </w:r>
      <w:r w:rsidR="00487406" w:rsidRPr="0074763F">
        <w:rPr>
          <w:rFonts w:ascii="Arial Narrow" w:hAnsi="Arial Narrow"/>
          <w:bCs/>
          <w:sz w:val="20"/>
          <w:szCs w:val="20"/>
        </w:rPr>
        <w:t>ão os seguintes:</w:t>
      </w:r>
    </w:p>
    <w:p w14:paraId="2A323421" w14:textId="77777777" w:rsidR="0076420E" w:rsidRPr="0074763F" w:rsidRDefault="0076420E" w:rsidP="0074763F">
      <w:pPr>
        <w:spacing w:before="120" w:after="0" w:line="320" w:lineRule="atLeast"/>
        <w:rPr>
          <w:rFonts w:ascii="Arial Narrow" w:hAnsi="Arial Narrow"/>
          <w:sz w:val="20"/>
          <w:szCs w:val="20"/>
        </w:rPr>
      </w:pPr>
    </w:p>
    <w:p w14:paraId="6306A15D" w14:textId="77777777" w:rsidR="006A7F12" w:rsidRPr="0074763F" w:rsidRDefault="004C62C5" w:rsidP="0074763F">
      <w:pPr>
        <w:numPr>
          <w:ilvl w:val="0"/>
          <w:numId w:val="2"/>
        </w:numPr>
        <w:spacing w:before="120" w:after="0" w:line="320" w:lineRule="atLeast"/>
        <w:ind w:left="714" w:hanging="357"/>
        <w:jc w:val="both"/>
        <w:rPr>
          <w:rFonts w:ascii="Arial Narrow" w:hAnsi="Arial Narrow"/>
          <w:sz w:val="20"/>
          <w:szCs w:val="20"/>
        </w:rPr>
      </w:pPr>
      <w:r w:rsidRPr="0074763F">
        <w:rPr>
          <w:rFonts w:ascii="Arial Narrow" w:hAnsi="Arial Narrow"/>
          <w:b/>
          <w:bCs/>
          <w:sz w:val="20"/>
          <w:szCs w:val="20"/>
        </w:rPr>
        <w:t xml:space="preserve">Eficácia - </w:t>
      </w:r>
      <w:r w:rsidR="00C627AA" w:rsidRPr="0074763F">
        <w:rPr>
          <w:rFonts w:ascii="Arial Narrow" w:hAnsi="Arial Narrow"/>
          <w:b/>
          <w:bCs/>
          <w:sz w:val="20"/>
          <w:szCs w:val="20"/>
        </w:rPr>
        <w:t>Contributo para resultados esperados</w:t>
      </w:r>
      <w:r w:rsidR="006A7F12" w:rsidRPr="0074763F">
        <w:rPr>
          <w:rFonts w:ascii="Arial Narrow" w:hAnsi="Arial Narrow"/>
          <w:sz w:val="20"/>
          <w:szCs w:val="20"/>
        </w:rPr>
        <w:t>;</w:t>
      </w:r>
    </w:p>
    <w:p w14:paraId="106962A7" w14:textId="77777777" w:rsidR="00144E28" w:rsidRPr="0074763F" w:rsidRDefault="004C62C5" w:rsidP="0074763F">
      <w:pPr>
        <w:pStyle w:val="PargrafodaLista"/>
        <w:numPr>
          <w:ilvl w:val="0"/>
          <w:numId w:val="2"/>
        </w:numPr>
        <w:spacing w:before="120" w:after="0" w:line="320" w:lineRule="atLeast"/>
        <w:contextualSpacing w:val="0"/>
        <w:jc w:val="both"/>
        <w:rPr>
          <w:rFonts w:ascii="Arial Narrow" w:hAnsi="Arial Narrow" w:cs="Arial"/>
          <w:sz w:val="20"/>
          <w:szCs w:val="20"/>
        </w:rPr>
      </w:pPr>
      <w:r w:rsidRPr="0074763F">
        <w:rPr>
          <w:rFonts w:ascii="Arial Narrow" w:hAnsi="Arial Narrow"/>
          <w:b/>
          <w:bCs/>
          <w:sz w:val="20"/>
          <w:szCs w:val="20"/>
        </w:rPr>
        <w:t xml:space="preserve">Eficiência, </w:t>
      </w:r>
      <w:r w:rsidR="00BC50C8" w:rsidRPr="0074763F">
        <w:rPr>
          <w:rFonts w:ascii="Arial Narrow" w:hAnsi="Arial Narrow"/>
          <w:b/>
          <w:bCs/>
          <w:sz w:val="20"/>
          <w:szCs w:val="20"/>
        </w:rPr>
        <w:t>Adequ</w:t>
      </w:r>
      <w:r w:rsidR="00A8541F" w:rsidRPr="0074763F">
        <w:rPr>
          <w:rFonts w:ascii="Arial Narrow" w:hAnsi="Arial Narrow"/>
          <w:b/>
          <w:bCs/>
          <w:sz w:val="20"/>
          <w:szCs w:val="20"/>
        </w:rPr>
        <w:t>a</w:t>
      </w:r>
      <w:r w:rsidR="00BC50C8" w:rsidRPr="0074763F">
        <w:rPr>
          <w:rFonts w:ascii="Arial Narrow" w:hAnsi="Arial Narrow"/>
          <w:b/>
          <w:bCs/>
          <w:sz w:val="20"/>
          <w:szCs w:val="20"/>
        </w:rPr>
        <w:t>ção Estratégi</w:t>
      </w:r>
      <w:r w:rsidR="00A8541F" w:rsidRPr="0074763F">
        <w:rPr>
          <w:rFonts w:ascii="Arial Narrow" w:hAnsi="Arial Narrow"/>
          <w:b/>
          <w:bCs/>
          <w:sz w:val="20"/>
          <w:szCs w:val="20"/>
        </w:rPr>
        <w:t xml:space="preserve">ca, </w:t>
      </w:r>
      <w:r w:rsidRPr="0074763F">
        <w:rPr>
          <w:rFonts w:ascii="Arial Narrow" w:hAnsi="Arial Narrow"/>
          <w:b/>
          <w:bCs/>
          <w:sz w:val="20"/>
          <w:szCs w:val="20"/>
        </w:rPr>
        <w:t>Sustentabilidade e Inovação</w:t>
      </w:r>
    </w:p>
    <w:p w14:paraId="35FA496E" w14:textId="77777777" w:rsidR="00A8541F" w:rsidRDefault="00A8541F" w:rsidP="0074763F">
      <w:pPr>
        <w:spacing w:before="120" w:after="0" w:line="320" w:lineRule="atLeast"/>
        <w:jc w:val="center"/>
        <w:rPr>
          <w:rFonts w:ascii="Arial Narrow" w:hAnsi="Arial Narrow"/>
          <w:b/>
          <w:sz w:val="20"/>
          <w:szCs w:val="20"/>
        </w:rPr>
      </w:pPr>
    </w:p>
    <w:p w14:paraId="5DDFD39B" w14:textId="77777777" w:rsidR="0074763F" w:rsidRPr="0074763F" w:rsidRDefault="0074763F" w:rsidP="0074763F">
      <w:pPr>
        <w:spacing w:before="120" w:after="0" w:line="320" w:lineRule="atLeast"/>
        <w:jc w:val="center"/>
        <w:rPr>
          <w:rFonts w:ascii="Arial Narrow" w:hAnsi="Arial Narrow"/>
          <w:b/>
          <w:sz w:val="20"/>
          <w:szCs w:val="20"/>
        </w:rPr>
      </w:pPr>
    </w:p>
    <w:p w14:paraId="6EC5C88F" w14:textId="77777777" w:rsidR="00530B4E" w:rsidRPr="0074763F" w:rsidRDefault="00530B4E" w:rsidP="0074763F">
      <w:pPr>
        <w:spacing w:before="120" w:after="0" w:line="320" w:lineRule="atLeast"/>
        <w:jc w:val="center"/>
        <w:rPr>
          <w:rFonts w:ascii="Arial Narrow" w:hAnsi="Arial Narrow"/>
          <w:b/>
          <w:bCs/>
          <w:sz w:val="24"/>
          <w:szCs w:val="24"/>
        </w:rPr>
      </w:pPr>
      <w:r w:rsidRPr="0074763F">
        <w:rPr>
          <w:rFonts w:ascii="Arial Narrow" w:hAnsi="Arial Narrow"/>
          <w:b/>
          <w:bCs/>
          <w:sz w:val="24"/>
          <w:szCs w:val="24"/>
        </w:rPr>
        <w:t>Metodologia para a determinação do Mérito dos Projetos</w:t>
      </w:r>
    </w:p>
    <w:p w14:paraId="34ABFB54" w14:textId="77777777" w:rsidR="00864B58" w:rsidRDefault="00864B58" w:rsidP="0074763F">
      <w:pPr>
        <w:spacing w:before="120" w:after="0" w:line="320" w:lineRule="atLeast"/>
        <w:jc w:val="both"/>
        <w:rPr>
          <w:rFonts w:ascii="Arial Narrow" w:hAnsi="Arial Narrow"/>
          <w:sz w:val="20"/>
          <w:szCs w:val="20"/>
        </w:rPr>
      </w:pPr>
    </w:p>
    <w:p w14:paraId="44D59637" w14:textId="77777777" w:rsidR="00DD6168" w:rsidRPr="0074763F" w:rsidRDefault="00DD6168" w:rsidP="0074763F">
      <w:pPr>
        <w:spacing w:before="120" w:after="0" w:line="320" w:lineRule="atLeast"/>
        <w:jc w:val="both"/>
        <w:rPr>
          <w:rFonts w:ascii="Arial Narrow" w:hAnsi="Arial Narrow"/>
          <w:sz w:val="20"/>
          <w:szCs w:val="20"/>
        </w:rPr>
      </w:pPr>
      <w:r w:rsidRPr="0074763F">
        <w:rPr>
          <w:rFonts w:ascii="Arial Narrow" w:hAnsi="Arial Narrow"/>
          <w:sz w:val="20"/>
          <w:szCs w:val="20"/>
        </w:rPr>
        <w:t>O Mérito dos Projetos (MP) é determinado pela soma ponderada das pontuações parcelares, atribuídas numa escala compreendida entre 1 e 5, para cada um dos critérios</w:t>
      </w:r>
      <w:r w:rsidR="009E1871" w:rsidRPr="0074763F">
        <w:rPr>
          <w:rFonts w:ascii="Arial Narrow" w:hAnsi="Arial Narrow"/>
          <w:sz w:val="20"/>
          <w:szCs w:val="20"/>
        </w:rPr>
        <w:t xml:space="preserve"> </w:t>
      </w:r>
      <w:r w:rsidR="009E1871" w:rsidRPr="0074763F">
        <w:rPr>
          <w:rFonts w:ascii="Arial Narrow" w:hAnsi="Arial Narrow" w:cs="65snz"/>
          <w:sz w:val="20"/>
          <w:szCs w:val="20"/>
        </w:rPr>
        <w:t>(sendo 1 o valor mais fraco e 5 o valor mais forte)</w:t>
      </w:r>
      <w:r w:rsidRPr="0074763F">
        <w:rPr>
          <w:rFonts w:ascii="Arial Narrow" w:hAnsi="Arial Narrow"/>
          <w:sz w:val="20"/>
          <w:szCs w:val="20"/>
        </w:rPr>
        <w:t>, de acordo com a seguinte fórmula:</w:t>
      </w:r>
    </w:p>
    <w:p w14:paraId="50F08782" w14:textId="77777777" w:rsidR="00BD0986" w:rsidRPr="0074763F" w:rsidRDefault="00BD0986" w:rsidP="0074763F">
      <w:pPr>
        <w:spacing w:before="120" w:after="0" w:line="320" w:lineRule="atLeast"/>
        <w:jc w:val="center"/>
        <w:rPr>
          <w:rFonts w:ascii="Arial Narrow" w:hAnsi="Arial Narrow"/>
          <w:sz w:val="20"/>
          <w:szCs w:val="20"/>
        </w:rPr>
      </w:pPr>
      <w:r w:rsidRPr="0074763F">
        <w:rPr>
          <w:rFonts w:ascii="Arial Narrow" w:hAnsi="Arial Narrow"/>
          <w:b/>
          <w:sz w:val="20"/>
          <w:szCs w:val="20"/>
        </w:rPr>
        <w:t>MP</w:t>
      </w:r>
      <w:r w:rsidRPr="0074763F">
        <w:rPr>
          <w:rFonts w:ascii="Arial Narrow" w:hAnsi="Arial Narrow"/>
          <w:sz w:val="20"/>
          <w:szCs w:val="20"/>
        </w:rPr>
        <w:t xml:space="preserve"> = 0,</w:t>
      </w:r>
      <w:r w:rsidR="005D73CC" w:rsidRPr="0074763F">
        <w:rPr>
          <w:rFonts w:ascii="Arial Narrow" w:hAnsi="Arial Narrow"/>
          <w:sz w:val="20"/>
          <w:szCs w:val="20"/>
        </w:rPr>
        <w:t>40</w:t>
      </w:r>
      <w:r w:rsidRPr="0074763F">
        <w:rPr>
          <w:rFonts w:ascii="Arial Narrow" w:hAnsi="Arial Narrow"/>
          <w:b/>
          <w:sz w:val="20"/>
          <w:szCs w:val="20"/>
        </w:rPr>
        <w:t>A</w:t>
      </w:r>
      <w:r w:rsidRPr="0074763F">
        <w:rPr>
          <w:rFonts w:ascii="Arial Narrow" w:hAnsi="Arial Narrow"/>
          <w:sz w:val="20"/>
          <w:szCs w:val="20"/>
        </w:rPr>
        <w:t xml:space="preserve"> + 0,</w:t>
      </w:r>
      <w:r w:rsidR="00BC50C8" w:rsidRPr="0074763F">
        <w:rPr>
          <w:rFonts w:ascii="Arial Narrow" w:hAnsi="Arial Narrow"/>
          <w:sz w:val="20"/>
          <w:szCs w:val="20"/>
        </w:rPr>
        <w:t>6</w:t>
      </w:r>
      <w:r w:rsidR="00C627AA" w:rsidRPr="0074763F">
        <w:rPr>
          <w:rFonts w:ascii="Arial Narrow" w:hAnsi="Arial Narrow"/>
          <w:sz w:val="20"/>
          <w:szCs w:val="20"/>
        </w:rPr>
        <w:t>0</w:t>
      </w:r>
      <w:r w:rsidRPr="0074763F">
        <w:rPr>
          <w:rFonts w:ascii="Arial Narrow" w:hAnsi="Arial Narrow"/>
          <w:b/>
          <w:sz w:val="20"/>
          <w:szCs w:val="20"/>
        </w:rPr>
        <w:t>B</w:t>
      </w:r>
      <w:r w:rsidR="00BC50C8" w:rsidRPr="0074763F">
        <w:rPr>
          <w:rFonts w:ascii="Arial Narrow" w:hAnsi="Arial Narrow"/>
          <w:sz w:val="20"/>
          <w:szCs w:val="20"/>
        </w:rPr>
        <w:t xml:space="preserve"> </w:t>
      </w:r>
    </w:p>
    <w:p w14:paraId="368B63AA" w14:textId="77777777" w:rsidR="00487406" w:rsidRPr="0074763F" w:rsidRDefault="00C627AA" w:rsidP="0074763F">
      <w:pPr>
        <w:spacing w:before="120" w:after="0" w:line="320" w:lineRule="atLeast"/>
        <w:jc w:val="both"/>
        <w:rPr>
          <w:rFonts w:ascii="Arial Narrow" w:hAnsi="Arial Narrow"/>
          <w:sz w:val="20"/>
          <w:szCs w:val="20"/>
        </w:rPr>
      </w:pPr>
      <w:r w:rsidRPr="0074763F">
        <w:rPr>
          <w:rFonts w:ascii="Arial Narrow" w:hAnsi="Arial Narrow"/>
          <w:sz w:val="20"/>
          <w:szCs w:val="20"/>
        </w:rPr>
        <w:t>A candidatura será selecionada</w:t>
      </w:r>
      <w:r w:rsidR="00AE4CD0" w:rsidRPr="0074763F">
        <w:rPr>
          <w:rFonts w:ascii="Arial Narrow" w:hAnsi="Arial Narrow"/>
          <w:sz w:val="20"/>
          <w:szCs w:val="20"/>
        </w:rPr>
        <w:t xml:space="preserve"> com base numa avaliação de mérito absoluto e p</w:t>
      </w:r>
      <w:r w:rsidR="00F659FE" w:rsidRPr="0074763F">
        <w:rPr>
          <w:rFonts w:ascii="Arial Narrow" w:hAnsi="Arial Narrow"/>
          <w:sz w:val="20"/>
          <w:szCs w:val="20"/>
        </w:rPr>
        <w:t>ara efeitos de seleção, consideram-se elegíveis os projetos que obtiverem uma pontuação final igual ou superior a 3</w:t>
      </w:r>
      <w:r w:rsidR="00E5235B" w:rsidRPr="0074763F">
        <w:rPr>
          <w:rFonts w:ascii="Arial Narrow" w:hAnsi="Arial Narrow"/>
          <w:sz w:val="20"/>
          <w:szCs w:val="20"/>
        </w:rPr>
        <w:t>,0</w:t>
      </w:r>
      <w:r w:rsidR="00F659FE" w:rsidRPr="0074763F">
        <w:rPr>
          <w:rFonts w:ascii="Arial Narrow" w:hAnsi="Arial Narrow"/>
          <w:sz w:val="20"/>
          <w:szCs w:val="20"/>
        </w:rPr>
        <w:t xml:space="preserve"> pontos.</w:t>
      </w:r>
    </w:p>
    <w:p w14:paraId="1C7B37A4" w14:textId="77777777" w:rsidR="00B86B71" w:rsidRPr="0074763F" w:rsidRDefault="00B86B71" w:rsidP="0074763F">
      <w:pPr>
        <w:spacing w:before="120" w:after="0" w:line="320" w:lineRule="atLeast"/>
        <w:jc w:val="both"/>
        <w:rPr>
          <w:rFonts w:ascii="Arial Narrow" w:hAnsi="Arial Narrow"/>
          <w:sz w:val="20"/>
          <w:szCs w:val="20"/>
        </w:rPr>
      </w:pPr>
      <w:r w:rsidRPr="0074763F">
        <w:rPr>
          <w:rFonts w:ascii="Arial Narrow" w:hAnsi="Arial Narrow"/>
          <w:sz w:val="20"/>
          <w:szCs w:val="20"/>
        </w:rPr>
        <w:t>Para os apoios ao setor público nesta prioridade, consideram-se 2 grandes grupos de tipologia de projetos, com diferenciação de critérios. Assim:</w:t>
      </w:r>
    </w:p>
    <w:p w14:paraId="3E1261F9" w14:textId="77777777" w:rsidR="00B86B71" w:rsidRPr="00864B58" w:rsidRDefault="00B86B71" w:rsidP="00864B58">
      <w:pPr>
        <w:spacing w:before="120" w:after="240" w:line="320" w:lineRule="atLeast"/>
        <w:jc w:val="both"/>
        <w:rPr>
          <w:rFonts w:ascii="Arial Narrow" w:hAnsi="Arial Narrow"/>
          <w:b/>
          <w:sz w:val="16"/>
          <w:szCs w:val="16"/>
        </w:rPr>
      </w:pPr>
      <w:r w:rsidRPr="00864B58">
        <w:rPr>
          <w:rFonts w:ascii="Arial Narrow" w:hAnsi="Arial Narrow"/>
          <w:b/>
          <w:sz w:val="16"/>
          <w:szCs w:val="16"/>
        </w:rPr>
        <w:t>Tipologia de investimento</w:t>
      </w:r>
      <w:r w:rsidR="00A8541F" w:rsidRPr="00864B58">
        <w:rPr>
          <w:rFonts w:ascii="Arial Narrow" w:hAnsi="Arial Narrow"/>
          <w:b/>
          <w:sz w:val="16"/>
          <w:szCs w:val="16"/>
        </w:rPr>
        <w:t xml:space="preserve"> 1</w:t>
      </w:r>
      <w:r w:rsidRPr="00864B58">
        <w:rPr>
          <w:rFonts w:ascii="Arial Narrow" w:hAnsi="Arial Narrow"/>
          <w:b/>
          <w:sz w:val="16"/>
          <w:szCs w:val="16"/>
        </w:rPr>
        <w:t>:</w:t>
      </w:r>
    </w:p>
    <w:p w14:paraId="62456DAA" w14:textId="548C86D0" w:rsidR="00B86B71" w:rsidRPr="0074763F" w:rsidRDefault="00B86B71" w:rsidP="0074763F">
      <w:pPr>
        <w:pStyle w:val="PargrafodaLista"/>
        <w:numPr>
          <w:ilvl w:val="0"/>
          <w:numId w:val="23"/>
        </w:numPr>
        <w:pBdr>
          <w:top w:val="single" w:sz="4" w:space="1" w:color="auto"/>
          <w:left w:val="single" w:sz="4" w:space="4" w:color="auto"/>
          <w:bottom w:val="single" w:sz="4" w:space="1" w:color="auto"/>
          <w:right w:val="single" w:sz="4" w:space="4" w:color="auto"/>
        </w:pBdr>
        <w:spacing w:before="120" w:after="0" w:line="320" w:lineRule="atLeast"/>
        <w:ind w:left="714" w:hanging="357"/>
        <w:contextualSpacing w:val="0"/>
        <w:jc w:val="both"/>
        <w:rPr>
          <w:rFonts w:ascii="Arial Narrow" w:hAnsi="Arial Narrow"/>
          <w:i/>
          <w:sz w:val="20"/>
          <w:szCs w:val="20"/>
        </w:rPr>
      </w:pPr>
      <w:r w:rsidRPr="0074763F">
        <w:rPr>
          <w:rFonts w:ascii="Arial Narrow" w:hAnsi="Arial Narrow"/>
          <w:i/>
          <w:sz w:val="20"/>
          <w:szCs w:val="20"/>
        </w:rPr>
        <w:t>Reabilitação energética dos edifícios e equipamentos da Administração Regional e Local</w:t>
      </w:r>
      <w:r w:rsidR="00A40057" w:rsidRPr="0074763F">
        <w:rPr>
          <w:rFonts w:ascii="Arial Narrow" w:hAnsi="Arial Narrow"/>
          <w:i/>
          <w:sz w:val="20"/>
          <w:szCs w:val="20"/>
        </w:rPr>
        <w:t xml:space="preserve"> e do parque habitacional social</w:t>
      </w:r>
      <w:r w:rsidRPr="0074763F">
        <w:rPr>
          <w:rFonts w:ascii="Arial Narrow" w:hAnsi="Arial Narrow"/>
          <w:i/>
          <w:sz w:val="20"/>
          <w:szCs w:val="20"/>
        </w:rPr>
        <w:t>, através de implementação de medidas como integração de água quente solar, incorporação de</w:t>
      </w:r>
      <w:r w:rsidR="006847AF" w:rsidRPr="006847AF">
        <w:rPr>
          <w:rFonts w:ascii="Arial Narrow" w:hAnsi="Arial Narrow"/>
          <w:i/>
          <w:sz w:val="20"/>
          <w:szCs w:val="20"/>
        </w:rPr>
        <w:t xml:space="preserve"> </w:t>
      </w:r>
      <w:r w:rsidR="006847AF" w:rsidRPr="006847AF">
        <w:rPr>
          <w:rFonts w:ascii="Arial Narrow" w:hAnsi="Arial Narrow"/>
          <w:i/>
          <w:sz w:val="20"/>
          <w:szCs w:val="20"/>
        </w:rPr>
        <w:t>unidades de produção para autoconsumo (UPAC)</w:t>
      </w:r>
      <w:r w:rsidRPr="0074763F">
        <w:rPr>
          <w:rFonts w:ascii="Arial Narrow" w:hAnsi="Arial Narrow"/>
          <w:i/>
          <w:sz w:val="20"/>
          <w:szCs w:val="20"/>
        </w:rPr>
        <w:t>, sistemas de iluminação, Aquecimento Ventilação e Ar Condicionado, intervenções nas fac</w:t>
      </w:r>
      <w:r w:rsidR="00A40057" w:rsidRPr="0074763F">
        <w:rPr>
          <w:rFonts w:ascii="Arial Narrow" w:hAnsi="Arial Narrow"/>
          <w:i/>
          <w:sz w:val="20"/>
          <w:szCs w:val="20"/>
        </w:rPr>
        <w:t>hadas e cobertura dos edifícios</w:t>
      </w:r>
      <w:r w:rsidRPr="0074763F">
        <w:rPr>
          <w:rFonts w:ascii="Arial Narrow" w:hAnsi="Arial Narrow"/>
          <w:i/>
          <w:sz w:val="20"/>
          <w:szCs w:val="20"/>
        </w:rPr>
        <w:t>;</w:t>
      </w:r>
    </w:p>
    <w:p w14:paraId="1C8CF54A" w14:textId="77777777" w:rsidR="00A8541F" w:rsidRPr="0074763F" w:rsidRDefault="00B86B71" w:rsidP="0074763F">
      <w:pPr>
        <w:pStyle w:val="PargrafodaLista"/>
        <w:numPr>
          <w:ilvl w:val="0"/>
          <w:numId w:val="23"/>
        </w:numPr>
        <w:pBdr>
          <w:top w:val="single" w:sz="4" w:space="1" w:color="auto"/>
          <w:left w:val="single" w:sz="4" w:space="4" w:color="auto"/>
          <w:bottom w:val="single" w:sz="4" w:space="1" w:color="auto"/>
          <w:right w:val="single" w:sz="4" w:space="4" w:color="auto"/>
        </w:pBdr>
        <w:spacing w:before="120" w:after="0" w:line="320" w:lineRule="atLeast"/>
        <w:ind w:left="714" w:hanging="357"/>
        <w:contextualSpacing w:val="0"/>
        <w:jc w:val="both"/>
        <w:rPr>
          <w:rFonts w:ascii="Arial Narrow" w:hAnsi="Arial Narrow"/>
          <w:i/>
          <w:sz w:val="20"/>
          <w:szCs w:val="20"/>
        </w:rPr>
      </w:pPr>
      <w:r w:rsidRPr="0074763F">
        <w:rPr>
          <w:rFonts w:ascii="Arial Narrow" w:hAnsi="Arial Narrow"/>
          <w:i/>
          <w:sz w:val="20"/>
          <w:szCs w:val="20"/>
        </w:rPr>
        <w:t xml:space="preserve">Criação de redes urbanas de energia térmica desde que exclusivamente dirigidas ao abastecimento de </w:t>
      </w:r>
      <w:proofErr w:type="gramStart"/>
      <w:r w:rsidRPr="0074763F">
        <w:rPr>
          <w:rFonts w:ascii="Arial Narrow" w:hAnsi="Arial Narrow"/>
          <w:i/>
          <w:sz w:val="20"/>
          <w:szCs w:val="20"/>
        </w:rPr>
        <w:t>clusters</w:t>
      </w:r>
      <w:proofErr w:type="gramEnd"/>
      <w:r w:rsidRPr="0074763F">
        <w:rPr>
          <w:rFonts w:ascii="Arial Narrow" w:hAnsi="Arial Narrow"/>
          <w:i/>
          <w:sz w:val="20"/>
          <w:szCs w:val="20"/>
        </w:rPr>
        <w:t xml:space="preserve"> de edifícios públicos maiores consumidores de calor e de frio.</w:t>
      </w:r>
    </w:p>
    <w:p w14:paraId="66AAEC40" w14:textId="77777777" w:rsidR="00A8541F" w:rsidRPr="0074763F" w:rsidRDefault="00A8541F" w:rsidP="00B86B71">
      <w:pPr>
        <w:spacing w:before="100" w:after="0" w:line="320" w:lineRule="atLeast"/>
        <w:jc w:val="both"/>
        <w:rPr>
          <w:rFonts w:ascii="Arial Narrow" w:hAnsi="Arial Narrow"/>
          <w:sz w:val="20"/>
          <w:szCs w:val="20"/>
        </w:rPr>
      </w:pPr>
    </w:p>
    <w:p w14:paraId="46364152" w14:textId="77777777" w:rsidR="0074763F" w:rsidRDefault="0074763F">
      <w:pPr>
        <w:rPr>
          <w:rFonts w:ascii="Arial Narrow" w:hAnsi="Arial Narrow"/>
          <w:sz w:val="20"/>
          <w:szCs w:val="20"/>
          <w:u w:val="single"/>
        </w:rPr>
      </w:pPr>
      <w:r>
        <w:rPr>
          <w:rFonts w:ascii="Arial Narrow" w:hAnsi="Arial Narrow"/>
          <w:sz w:val="20"/>
          <w:szCs w:val="20"/>
          <w:u w:val="single"/>
        </w:rPr>
        <w:br w:type="page"/>
      </w:r>
    </w:p>
    <w:p w14:paraId="2A74BA1C" w14:textId="77777777" w:rsidR="00B86B71" w:rsidRPr="0074763F" w:rsidRDefault="00B86B71" w:rsidP="00B86B71">
      <w:pPr>
        <w:spacing w:before="100" w:after="0" w:line="320" w:lineRule="atLeast"/>
        <w:jc w:val="both"/>
        <w:rPr>
          <w:rFonts w:ascii="Arial Narrow" w:hAnsi="Arial Narrow"/>
          <w:sz w:val="24"/>
          <w:szCs w:val="24"/>
          <w:u w:val="single"/>
        </w:rPr>
      </w:pPr>
      <w:r w:rsidRPr="0074763F">
        <w:rPr>
          <w:rFonts w:ascii="Arial Narrow" w:hAnsi="Arial Narrow"/>
          <w:sz w:val="24"/>
          <w:szCs w:val="24"/>
          <w:u w:val="single"/>
        </w:rPr>
        <w:lastRenderedPageBreak/>
        <w:t>Critérios de seleção:</w:t>
      </w:r>
    </w:p>
    <w:p w14:paraId="5B149D69" w14:textId="77777777" w:rsidR="00B86B71" w:rsidRPr="0074763F" w:rsidRDefault="00B86B71" w:rsidP="00B86B71">
      <w:pPr>
        <w:spacing w:after="0"/>
        <w:jc w:val="both"/>
        <w:rPr>
          <w:rFonts w:ascii="Arial Narrow" w:hAnsi="Arial Narrow"/>
          <w:sz w:val="20"/>
          <w:szCs w:val="20"/>
        </w:rPr>
      </w:pPr>
    </w:p>
    <w:p w14:paraId="40E7ABCC" w14:textId="77777777" w:rsidR="00513563" w:rsidRPr="0074763F" w:rsidRDefault="005D73CC" w:rsidP="00513563">
      <w:pPr>
        <w:numPr>
          <w:ilvl w:val="0"/>
          <w:numId w:val="15"/>
        </w:numPr>
        <w:spacing w:after="0"/>
        <w:jc w:val="both"/>
        <w:rPr>
          <w:rFonts w:ascii="Arial Narrow" w:hAnsi="Arial Narrow"/>
          <w:sz w:val="20"/>
          <w:szCs w:val="20"/>
        </w:rPr>
      </w:pPr>
      <w:r w:rsidRPr="0074763F">
        <w:rPr>
          <w:rFonts w:ascii="Arial Narrow" w:hAnsi="Arial Narrow"/>
          <w:b/>
          <w:bCs/>
          <w:sz w:val="20"/>
          <w:szCs w:val="20"/>
        </w:rPr>
        <w:t xml:space="preserve">Eficácia - </w:t>
      </w:r>
      <w:r w:rsidR="00027997" w:rsidRPr="0074763F">
        <w:rPr>
          <w:rFonts w:ascii="Arial Narrow" w:hAnsi="Arial Narrow"/>
          <w:b/>
          <w:bCs/>
          <w:sz w:val="20"/>
          <w:szCs w:val="20"/>
        </w:rPr>
        <w:t>Contributo para resultados esperados</w:t>
      </w:r>
      <w:r w:rsidRPr="0074763F">
        <w:rPr>
          <w:rFonts w:ascii="Arial Narrow" w:hAnsi="Arial Narrow"/>
          <w:b/>
          <w:bCs/>
          <w:sz w:val="20"/>
          <w:szCs w:val="20"/>
        </w:rPr>
        <w:t xml:space="preserve"> </w:t>
      </w:r>
      <w:r w:rsidRPr="0074763F">
        <w:rPr>
          <w:rFonts w:ascii="Arial Narrow" w:hAnsi="Arial Narrow"/>
          <w:bCs/>
          <w:sz w:val="20"/>
          <w:szCs w:val="20"/>
        </w:rPr>
        <w:t>(40%)</w:t>
      </w:r>
      <w:r w:rsidR="00027997" w:rsidRPr="0074763F">
        <w:rPr>
          <w:rFonts w:ascii="Arial Narrow" w:hAnsi="Arial Narrow"/>
          <w:sz w:val="20"/>
          <w:szCs w:val="20"/>
        </w:rPr>
        <w:t>;</w:t>
      </w:r>
    </w:p>
    <w:p w14:paraId="12B6851B" w14:textId="77777777" w:rsidR="00487406" w:rsidRPr="0074763F" w:rsidRDefault="00487406" w:rsidP="00660E7C">
      <w:pPr>
        <w:spacing w:after="0" w:line="360" w:lineRule="auto"/>
        <w:jc w:val="both"/>
        <w:rPr>
          <w:rFonts w:ascii="Arial Narrow" w:hAnsi="Arial Narrow" w:cs="Arial"/>
          <w:sz w:val="20"/>
          <w:szCs w:val="20"/>
        </w:rPr>
      </w:pPr>
    </w:p>
    <w:p w14:paraId="7F1D2808" w14:textId="77777777" w:rsidR="00660E7C" w:rsidRPr="0074763F" w:rsidRDefault="00A2660B" w:rsidP="00660E7C">
      <w:pPr>
        <w:spacing w:after="0" w:line="360" w:lineRule="auto"/>
        <w:jc w:val="both"/>
        <w:rPr>
          <w:rFonts w:ascii="Arial Narrow" w:hAnsi="Arial Narrow" w:cs="Arial"/>
          <w:sz w:val="20"/>
          <w:szCs w:val="20"/>
        </w:rPr>
      </w:pPr>
      <w:r w:rsidRPr="0074763F">
        <w:rPr>
          <w:rFonts w:ascii="Arial Narrow" w:hAnsi="Arial Narrow" w:cs="Arial"/>
          <w:sz w:val="20"/>
          <w:szCs w:val="20"/>
        </w:rPr>
        <w:t>A avaliaç</w:t>
      </w:r>
      <w:r w:rsidR="00487406" w:rsidRPr="0074763F">
        <w:rPr>
          <w:rFonts w:ascii="Arial Narrow" w:hAnsi="Arial Narrow" w:cs="Arial"/>
          <w:sz w:val="20"/>
          <w:szCs w:val="20"/>
        </w:rPr>
        <w:t xml:space="preserve">ão </w:t>
      </w:r>
      <w:r w:rsidR="005D73CC" w:rsidRPr="0074763F">
        <w:rPr>
          <w:rFonts w:ascii="Arial Narrow" w:hAnsi="Arial Narrow" w:cs="Arial"/>
          <w:sz w:val="20"/>
          <w:szCs w:val="20"/>
        </w:rPr>
        <w:t>da operação</w:t>
      </w:r>
      <w:r w:rsidRPr="0074763F">
        <w:rPr>
          <w:rFonts w:ascii="Arial Narrow" w:hAnsi="Arial Narrow" w:cs="Arial"/>
          <w:sz w:val="20"/>
          <w:szCs w:val="20"/>
        </w:rPr>
        <w:t xml:space="preserve"> foca-se no nível de contribuição da operação para as metas dos indicadores consta</w:t>
      </w:r>
      <w:r w:rsidR="003F620A" w:rsidRPr="0074763F">
        <w:rPr>
          <w:rFonts w:ascii="Arial Narrow" w:hAnsi="Arial Narrow" w:cs="Arial"/>
          <w:sz w:val="20"/>
          <w:szCs w:val="20"/>
        </w:rPr>
        <w:t xml:space="preserve">ntes do programa, </w:t>
      </w:r>
      <w:r w:rsidRPr="0074763F">
        <w:rPr>
          <w:rFonts w:ascii="Arial Narrow" w:hAnsi="Arial Narrow" w:cs="Arial"/>
          <w:sz w:val="20"/>
          <w:szCs w:val="20"/>
        </w:rPr>
        <w:t xml:space="preserve">sejam os de </w:t>
      </w:r>
      <w:r w:rsidR="00487406" w:rsidRPr="0074763F">
        <w:rPr>
          <w:rFonts w:ascii="Arial Narrow" w:hAnsi="Arial Narrow" w:cs="Arial"/>
          <w:sz w:val="20"/>
          <w:szCs w:val="20"/>
        </w:rPr>
        <w:t>resultado, seja</w:t>
      </w:r>
      <w:r w:rsidR="00D46FFF" w:rsidRPr="0074763F">
        <w:rPr>
          <w:rFonts w:ascii="Arial Narrow" w:hAnsi="Arial Narrow" w:cs="Arial"/>
          <w:sz w:val="20"/>
          <w:szCs w:val="20"/>
        </w:rPr>
        <w:t>m</w:t>
      </w:r>
      <w:r w:rsidR="00487406" w:rsidRPr="0074763F">
        <w:rPr>
          <w:rFonts w:ascii="Arial Narrow" w:hAnsi="Arial Narrow" w:cs="Arial"/>
          <w:sz w:val="20"/>
          <w:szCs w:val="20"/>
        </w:rPr>
        <w:t xml:space="preserve"> os de realização</w:t>
      </w:r>
      <w:r w:rsidRPr="0074763F">
        <w:rPr>
          <w:rFonts w:ascii="Arial Narrow" w:hAnsi="Arial Narrow" w:cs="Arial"/>
          <w:sz w:val="20"/>
          <w:szCs w:val="20"/>
        </w:rPr>
        <w:t xml:space="preserve">, </w:t>
      </w:r>
      <w:r w:rsidR="003F620A" w:rsidRPr="0074763F">
        <w:rPr>
          <w:rFonts w:ascii="Arial Narrow" w:hAnsi="Arial Narrow" w:cs="Arial"/>
          <w:sz w:val="20"/>
          <w:szCs w:val="20"/>
        </w:rPr>
        <w:t xml:space="preserve">devidamente </w:t>
      </w:r>
      <w:proofErr w:type="spellStart"/>
      <w:r w:rsidR="003F620A" w:rsidRPr="0074763F">
        <w:rPr>
          <w:rFonts w:ascii="Arial Narrow" w:hAnsi="Arial Narrow" w:cs="Arial"/>
          <w:sz w:val="20"/>
          <w:szCs w:val="20"/>
        </w:rPr>
        <w:t>territorializados</w:t>
      </w:r>
      <w:proofErr w:type="spellEnd"/>
      <w:r w:rsidR="003F620A" w:rsidRPr="0074763F">
        <w:rPr>
          <w:rFonts w:ascii="Arial Narrow" w:hAnsi="Arial Narrow" w:cs="Arial"/>
          <w:sz w:val="20"/>
          <w:szCs w:val="20"/>
        </w:rPr>
        <w:t xml:space="preserve"> a nível </w:t>
      </w:r>
      <w:r w:rsidR="005D73CC" w:rsidRPr="0074763F">
        <w:rPr>
          <w:rFonts w:ascii="Arial Narrow" w:hAnsi="Arial Narrow" w:cs="Arial"/>
          <w:sz w:val="20"/>
          <w:szCs w:val="20"/>
        </w:rPr>
        <w:t>de ilha onde serão implementadas as operações</w:t>
      </w:r>
      <w:r w:rsidR="008059BF" w:rsidRPr="0074763F">
        <w:rPr>
          <w:rFonts w:ascii="Arial Narrow" w:hAnsi="Arial Narrow" w:cs="Arial"/>
          <w:sz w:val="20"/>
          <w:szCs w:val="20"/>
        </w:rPr>
        <w:t>,</w:t>
      </w:r>
      <w:r w:rsidR="003F620A" w:rsidRPr="0074763F">
        <w:rPr>
          <w:rFonts w:ascii="Arial Narrow" w:hAnsi="Arial Narrow" w:cs="Arial"/>
          <w:sz w:val="20"/>
          <w:szCs w:val="20"/>
        </w:rPr>
        <w:t xml:space="preserve"> </w:t>
      </w:r>
      <w:r w:rsidRPr="0074763F">
        <w:rPr>
          <w:rFonts w:ascii="Arial Narrow" w:hAnsi="Arial Narrow" w:cs="Arial"/>
          <w:sz w:val="20"/>
          <w:szCs w:val="20"/>
        </w:rPr>
        <w:t>utilizando a seguinte tabela:</w:t>
      </w:r>
    </w:p>
    <w:p w14:paraId="1C95C933" w14:textId="77777777" w:rsidR="00A2660B" w:rsidRPr="0074763F" w:rsidRDefault="00A2660B" w:rsidP="00660E7C">
      <w:pPr>
        <w:spacing w:after="0" w:line="360" w:lineRule="auto"/>
        <w:jc w:val="both"/>
        <w:rPr>
          <w:rFonts w:ascii="Arial Narrow" w:hAnsi="Arial Narrow" w:cs="Arial"/>
          <w:sz w:val="20"/>
          <w:szCs w:val="20"/>
        </w:rPr>
      </w:pPr>
    </w:p>
    <w:tbl>
      <w:tblPr>
        <w:tblW w:w="8971" w:type="dxa"/>
        <w:jc w:val="center"/>
        <w:tblCellMar>
          <w:left w:w="70" w:type="dxa"/>
          <w:right w:w="70" w:type="dxa"/>
        </w:tblCellMar>
        <w:tblLook w:val="04A0" w:firstRow="1" w:lastRow="0" w:firstColumn="1" w:lastColumn="0" w:noHBand="0" w:noVBand="1"/>
      </w:tblPr>
      <w:tblGrid>
        <w:gridCol w:w="4062"/>
        <w:gridCol w:w="1039"/>
        <w:gridCol w:w="1163"/>
        <w:gridCol w:w="1307"/>
        <w:gridCol w:w="1400"/>
      </w:tblGrid>
      <w:tr w:rsidR="0074763F" w:rsidRPr="0074763F" w14:paraId="27C4CE35" w14:textId="77777777" w:rsidTr="00864B58">
        <w:trPr>
          <w:trHeight w:val="397"/>
          <w:jc w:val="center"/>
        </w:trPr>
        <w:tc>
          <w:tcPr>
            <w:tcW w:w="4062" w:type="dxa"/>
            <w:vMerge w:val="restart"/>
            <w:tcBorders>
              <w:top w:val="single" w:sz="4" w:space="0" w:color="auto"/>
              <w:left w:val="single" w:sz="4" w:space="0" w:color="auto"/>
              <w:bottom w:val="single" w:sz="4" w:space="0" w:color="auto"/>
              <w:right w:val="single" w:sz="4" w:space="0" w:color="auto"/>
            </w:tcBorders>
            <w:vAlign w:val="center"/>
          </w:tcPr>
          <w:p w14:paraId="39545A9B"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Subcritério</w:t>
            </w:r>
          </w:p>
        </w:tc>
        <w:tc>
          <w:tcPr>
            <w:tcW w:w="1039" w:type="dxa"/>
            <w:vMerge w:val="restart"/>
            <w:tcBorders>
              <w:top w:val="single" w:sz="4" w:space="0" w:color="auto"/>
              <w:left w:val="single" w:sz="4" w:space="0" w:color="auto"/>
              <w:right w:val="single" w:sz="4" w:space="0" w:color="auto"/>
            </w:tcBorders>
            <w:vAlign w:val="center"/>
          </w:tcPr>
          <w:p w14:paraId="7424C52C"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Ponderador</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AD1328"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Pontuação</w:t>
            </w:r>
          </w:p>
        </w:tc>
      </w:tr>
      <w:tr w:rsidR="0074763F" w:rsidRPr="0074763F" w14:paraId="3BEE871B" w14:textId="77777777" w:rsidTr="00864B58">
        <w:trPr>
          <w:trHeight w:val="397"/>
          <w:jc w:val="center"/>
        </w:trPr>
        <w:tc>
          <w:tcPr>
            <w:tcW w:w="4062" w:type="dxa"/>
            <w:vMerge/>
            <w:tcBorders>
              <w:top w:val="single" w:sz="4" w:space="0" w:color="auto"/>
              <w:left w:val="single" w:sz="4" w:space="0" w:color="auto"/>
              <w:bottom w:val="single" w:sz="4" w:space="0" w:color="auto"/>
              <w:right w:val="single" w:sz="4" w:space="0" w:color="auto"/>
            </w:tcBorders>
          </w:tcPr>
          <w:p w14:paraId="44279794" w14:textId="77777777" w:rsidR="0074763F" w:rsidRPr="0074763F" w:rsidRDefault="0074763F" w:rsidP="00FD00DB">
            <w:pPr>
              <w:spacing w:after="0" w:line="240" w:lineRule="auto"/>
              <w:jc w:val="center"/>
              <w:rPr>
                <w:rFonts w:ascii="Arial Narrow" w:eastAsia="Times New Roman" w:hAnsi="Arial Narrow" w:cs="Times New Roman"/>
                <w:b/>
                <w:bCs/>
                <w:color w:val="000000"/>
                <w:sz w:val="18"/>
                <w:szCs w:val="18"/>
                <w:lang w:eastAsia="pt-PT"/>
              </w:rPr>
            </w:pPr>
          </w:p>
        </w:tc>
        <w:tc>
          <w:tcPr>
            <w:tcW w:w="1039" w:type="dxa"/>
            <w:vMerge/>
            <w:tcBorders>
              <w:left w:val="single" w:sz="4" w:space="0" w:color="auto"/>
              <w:bottom w:val="single" w:sz="4" w:space="0" w:color="auto"/>
              <w:right w:val="single" w:sz="4" w:space="0" w:color="auto"/>
            </w:tcBorders>
            <w:vAlign w:val="center"/>
          </w:tcPr>
          <w:p w14:paraId="3DEED7D1"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389B"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Inferior a 5%</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64BA5751"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Entre 5 a 10%</w:t>
            </w:r>
          </w:p>
        </w:tc>
        <w:tc>
          <w:tcPr>
            <w:tcW w:w="1400" w:type="dxa"/>
            <w:tcBorders>
              <w:top w:val="single" w:sz="4" w:space="0" w:color="auto"/>
              <w:left w:val="nil"/>
              <w:bottom w:val="single" w:sz="4" w:space="0" w:color="auto"/>
              <w:right w:val="single" w:sz="4" w:space="0" w:color="auto"/>
            </w:tcBorders>
            <w:vAlign w:val="center"/>
          </w:tcPr>
          <w:p w14:paraId="5BB4A36E" w14:textId="77777777" w:rsidR="0074763F" w:rsidRPr="0074763F" w:rsidRDefault="0074763F" w:rsidP="0074763F">
            <w:pPr>
              <w:spacing w:after="0" w:line="240" w:lineRule="auto"/>
              <w:jc w:val="center"/>
              <w:rPr>
                <w:rFonts w:ascii="Arial Narrow" w:eastAsia="Times New Roman" w:hAnsi="Arial Narrow" w:cs="Times New Roman"/>
                <w:b/>
                <w:bCs/>
                <w:color w:val="000000"/>
                <w:sz w:val="18"/>
                <w:szCs w:val="18"/>
                <w:lang w:eastAsia="pt-PT"/>
              </w:rPr>
            </w:pPr>
            <w:r w:rsidRPr="0074763F">
              <w:rPr>
                <w:rFonts w:ascii="Arial Narrow" w:eastAsia="Times New Roman" w:hAnsi="Arial Narrow" w:cs="Times New Roman"/>
                <w:b/>
                <w:bCs/>
                <w:color w:val="000000"/>
                <w:sz w:val="18"/>
                <w:szCs w:val="18"/>
                <w:lang w:eastAsia="pt-PT"/>
              </w:rPr>
              <w:t>Superior a 10%</w:t>
            </w:r>
          </w:p>
        </w:tc>
      </w:tr>
      <w:tr w:rsidR="00751F17" w:rsidRPr="0074763F" w14:paraId="54CDA711" w14:textId="77777777" w:rsidTr="00864B58">
        <w:trPr>
          <w:trHeight w:val="964"/>
          <w:jc w:val="center"/>
        </w:trPr>
        <w:tc>
          <w:tcPr>
            <w:tcW w:w="4062" w:type="dxa"/>
            <w:tcBorders>
              <w:top w:val="single" w:sz="4" w:space="0" w:color="auto"/>
              <w:left w:val="single" w:sz="4" w:space="0" w:color="auto"/>
              <w:bottom w:val="single" w:sz="4" w:space="0" w:color="auto"/>
              <w:right w:val="single" w:sz="4" w:space="0" w:color="auto"/>
            </w:tcBorders>
            <w:vAlign w:val="center"/>
          </w:tcPr>
          <w:p w14:paraId="48C1EFF9" w14:textId="77777777" w:rsidR="00751F17" w:rsidRPr="00864B58" w:rsidRDefault="00751F17" w:rsidP="00ED0436">
            <w:pPr>
              <w:spacing w:after="0" w:line="240" w:lineRule="auto"/>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Contribuição para Resultado</w:t>
            </w:r>
          </w:p>
          <w:p w14:paraId="53200324" w14:textId="77777777" w:rsidR="00751F17" w:rsidRPr="0074763F" w:rsidRDefault="00751F17" w:rsidP="00864B58">
            <w:pPr>
              <w:pStyle w:val="PargrafodaLista"/>
              <w:numPr>
                <w:ilvl w:val="0"/>
                <w:numId w:val="22"/>
              </w:numPr>
              <w:spacing w:after="0" w:line="280" w:lineRule="atLeast"/>
              <w:ind w:left="306" w:hanging="215"/>
              <w:rPr>
                <w:rFonts w:ascii="Arial Narrow" w:eastAsia="Times New Roman" w:hAnsi="Arial Narrow" w:cs="Times New Roman"/>
                <w:b/>
                <w:bCs/>
                <w:color w:val="000000"/>
                <w:sz w:val="20"/>
                <w:szCs w:val="20"/>
                <w:lang w:eastAsia="pt-PT"/>
              </w:rPr>
            </w:pPr>
            <w:r w:rsidRPr="0074763F">
              <w:rPr>
                <w:rFonts w:ascii="Arial Narrow" w:hAnsi="Arial Narrow"/>
                <w:sz w:val="20"/>
                <w:szCs w:val="20"/>
              </w:rPr>
              <w:t>Consumo de energia primária na administração regional e local</w:t>
            </w:r>
            <w:r w:rsidRPr="0074763F">
              <w:rPr>
                <w:rFonts w:ascii="Arial Narrow" w:eastAsia="Times New Roman" w:hAnsi="Arial Narrow" w:cs="Times New Roman"/>
                <w:b/>
                <w:bCs/>
                <w:color w:val="000000"/>
                <w:sz w:val="20"/>
                <w:szCs w:val="20"/>
                <w:lang w:eastAsia="pt-PT"/>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14:paraId="0E255432"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50%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BCD04"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1 </w:t>
            </w:r>
            <w:proofErr w:type="gramStart"/>
            <w:r w:rsidRPr="0074763F">
              <w:rPr>
                <w:rFonts w:ascii="Arial Narrow" w:eastAsia="Times New Roman" w:hAnsi="Arial Narrow" w:cs="Times New Roman"/>
                <w:color w:val="000000"/>
                <w:sz w:val="20"/>
                <w:szCs w:val="20"/>
                <w:lang w:eastAsia="pt-PT"/>
              </w:rPr>
              <w:t>ponto</w:t>
            </w:r>
            <w:proofErr w:type="gram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FDE6" w14:textId="77777777" w:rsidR="00751F17" w:rsidRPr="0074763F" w:rsidRDefault="00751F17" w:rsidP="0074763F">
            <w:pPr>
              <w:spacing w:after="0" w:line="240" w:lineRule="auto"/>
              <w:jc w:val="center"/>
              <w:rPr>
                <w:rFonts w:ascii="Arial Narrow" w:eastAsia="Times New Roman" w:hAnsi="Arial Narrow" w:cs="Times New Roman"/>
                <w:b/>
                <w:bCs/>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p>
        </w:tc>
        <w:tc>
          <w:tcPr>
            <w:tcW w:w="1400" w:type="dxa"/>
            <w:tcBorders>
              <w:top w:val="single" w:sz="4" w:space="0" w:color="auto"/>
              <w:left w:val="single" w:sz="4" w:space="0" w:color="auto"/>
              <w:bottom w:val="single" w:sz="4" w:space="0" w:color="auto"/>
              <w:right w:val="single" w:sz="4" w:space="0" w:color="auto"/>
            </w:tcBorders>
            <w:vAlign w:val="center"/>
          </w:tcPr>
          <w:p w14:paraId="50DD4C87"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5 </w:t>
            </w:r>
            <w:proofErr w:type="gramStart"/>
            <w:r w:rsidRPr="0074763F">
              <w:rPr>
                <w:rFonts w:ascii="Arial Narrow" w:eastAsia="Times New Roman" w:hAnsi="Arial Narrow" w:cs="Times New Roman"/>
                <w:color w:val="000000"/>
                <w:sz w:val="20"/>
                <w:szCs w:val="20"/>
                <w:lang w:eastAsia="pt-PT"/>
              </w:rPr>
              <w:t>pontos</w:t>
            </w:r>
            <w:proofErr w:type="gramEnd"/>
          </w:p>
        </w:tc>
      </w:tr>
      <w:tr w:rsidR="00751F17" w:rsidRPr="0074763F" w14:paraId="34C10ABF" w14:textId="77777777" w:rsidTr="00864B58">
        <w:trPr>
          <w:trHeight w:val="1361"/>
          <w:jc w:val="center"/>
        </w:trPr>
        <w:tc>
          <w:tcPr>
            <w:tcW w:w="4062" w:type="dxa"/>
            <w:tcBorders>
              <w:top w:val="single" w:sz="4" w:space="0" w:color="auto"/>
              <w:left w:val="single" w:sz="4" w:space="0" w:color="auto"/>
              <w:bottom w:val="single" w:sz="4" w:space="0" w:color="auto"/>
              <w:right w:val="single" w:sz="4" w:space="0" w:color="auto"/>
            </w:tcBorders>
            <w:vAlign w:val="center"/>
          </w:tcPr>
          <w:p w14:paraId="708F10B6" w14:textId="77777777" w:rsidR="00751F17" w:rsidRPr="00864B58" w:rsidRDefault="00751F17" w:rsidP="00864B58">
            <w:pPr>
              <w:spacing w:before="120" w:after="0" w:line="240" w:lineRule="auto"/>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Contribuição para Realização</w:t>
            </w:r>
          </w:p>
          <w:p w14:paraId="3B8118A5" w14:textId="77777777" w:rsidR="00751F17" w:rsidRPr="00864B58" w:rsidRDefault="00751F17" w:rsidP="00864B58">
            <w:pPr>
              <w:pStyle w:val="PargrafodaLista"/>
              <w:numPr>
                <w:ilvl w:val="0"/>
                <w:numId w:val="22"/>
              </w:numPr>
              <w:spacing w:after="0" w:line="280" w:lineRule="atLeast"/>
              <w:ind w:left="306" w:hanging="215"/>
              <w:rPr>
                <w:rFonts w:ascii="Arial Narrow" w:hAnsi="Arial Narrow"/>
                <w:sz w:val="20"/>
                <w:szCs w:val="20"/>
              </w:rPr>
            </w:pPr>
            <w:r w:rsidRPr="00864B58">
              <w:rPr>
                <w:rFonts w:ascii="Arial Narrow" w:hAnsi="Arial Narrow"/>
                <w:sz w:val="20"/>
                <w:szCs w:val="20"/>
              </w:rPr>
              <w:t xml:space="preserve">Redução anual do consumo de energia primária nos edifícios públicos </w:t>
            </w:r>
          </w:p>
          <w:p w14:paraId="629B359A" w14:textId="77777777" w:rsidR="00751F17" w:rsidRPr="00864B58" w:rsidRDefault="00751F17" w:rsidP="00864B58">
            <w:pPr>
              <w:pStyle w:val="PargrafodaLista"/>
              <w:numPr>
                <w:ilvl w:val="0"/>
                <w:numId w:val="22"/>
              </w:numPr>
              <w:spacing w:after="0" w:line="280" w:lineRule="atLeast"/>
              <w:ind w:left="306" w:hanging="215"/>
              <w:rPr>
                <w:rFonts w:ascii="Arial Narrow" w:hAnsi="Arial Narrow"/>
                <w:sz w:val="20"/>
                <w:szCs w:val="20"/>
              </w:rPr>
            </w:pPr>
            <w:r w:rsidRPr="00864B58">
              <w:rPr>
                <w:rFonts w:ascii="Arial Narrow" w:hAnsi="Arial Narrow"/>
                <w:sz w:val="20"/>
                <w:szCs w:val="20"/>
              </w:rPr>
              <w:t xml:space="preserve">Redução das emissões de gases com efeito de estufa </w:t>
            </w:r>
          </w:p>
        </w:tc>
        <w:tc>
          <w:tcPr>
            <w:tcW w:w="1039" w:type="dxa"/>
            <w:tcBorders>
              <w:top w:val="single" w:sz="4" w:space="0" w:color="auto"/>
              <w:left w:val="single" w:sz="4" w:space="0" w:color="auto"/>
              <w:bottom w:val="single" w:sz="4" w:space="0" w:color="auto"/>
              <w:right w:val="single" w:sz="4" w:space="0" w:color="auto"/>
            </w:tcBorders>
            <w:vAlign w:val="center"/>
          </w:tcPr>
          <w:p w14:paraId="77642F9B"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50%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4544"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1 </w:t>
            </w:r>
            <w:proofErr w:type="gramStart"/>
            <w:r w:rsidRPr="0074763F">
              <w:rPr>
                <w:rFonts w:ascii="Arial Narrow" w:eastAsia="Times New Roman" w:hAnsi="Arial Narrow" w:cs="Times New Roman"/>
                <w:color w:val="000000"/>
                <w:sz w:val="20"/>
                <w:szCs w:val="20"/>
                <w:lang w:eastAsia="pt-PT"/>
              </w:rPr>
              <w:t>ponto</w:t>
            </w:r>
            <w:proofErr w:type="gram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53A91"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p>
        </w:tc>
        <w:tc>
          <w:tcPr>
            <w:tcW w:w="1400" w:type="dxa"/>
            <w:tcBorders>
              <w:top w:val="single" w:sz="4" w:space="0" w:color="auto"/>
              <w:left w:val="single" w:sz="4" w:space="0" w:color="auto"/>
              <w:bottom w:val="single" w:sz="4" w:space="0" w:color="auto"/>
              <w:right w:val="single" w:sz="4" w:space="0" w:color="auto"/>
            </w:tcBorders>
            <w:vAlign w:val="center"/>
          </w:tcPr>
          <w:p w14:paraId="0FA47FA1" w14:textId="77777777" w:rsidR="00751F17" w:rsidRPr="0074763F" w:rsidRDefault="00751F1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5 </w:t>
            </w:r>
            <w:proofErr w:type="gramStart"/>
            <w:r w:rsidRPr="0074763F">
              <w:rPr>
                <w:rFonts w:ascii="Arial Narrow" w:eastAsia="Times New Roman" w:hAnsi="Arial Narrow" w:cs="Times New Roman"/>
                <w:color w:val="000000"/>
                <w:sz w:val="20"/>
                <w:szCs w:val="20"/>
                <w:lang w:eastAsia="pt-PT"/>
              </w:rPr>
              <w:t>pontos</w:t>
            </w:r>
            <w:proofErr w:type="gramEnd"/>
          </w:p>
        </w:tc>
      </w:tr>
    </w:tbl>
    <w:p w14:paraId="6CC61142" w14:textId="77777777" w:rsidR="00751F17" w:rsidRPr="0074763F" w:rsidRDefault="00751F17" w:rsidP="00660E7C">
      <w:pPr>
        <w:spacing w:after="0" w:line="360" w:lineRule="auto"/>
        <w:jc w:val="both"/>
        <w:rPr>
          <w:rFonts w:ascii="Arial Narrow" w:hAnsi="Arial Narrow" w:cs="Arial"/>
          <w:sz w:val="20"/>
          <w:szCs w:val="20"/>
        </w:rPr>
      </w:pPr>
    </w:p>
    <w:p w14:paraId="059102F2" w14:textId="77777777" w:rsidR="00660E7C" w:rsidRPr="0074763F" w:rsidRDefault="00660E7C" w:rsidP="00E70DA2">
      <w:pPr>
        <w:spacing w:after="120" w:line="360" w:lineRule="auto"/>
        <w:jc w:val="both"/>
        <w:rPr>
          <w:rFonts w:ascii="Arial Narrow" w:hAnsi="Arial Narrow" w:cs="Arial"/>
          <w:sz w:val="20"/>
          <w:szCs w:val="20"/>
        </w:rPr>
      </w:pPr>
    </w:p>
    <w:p w14:paraId="272ABC08" w14:textId="77777777" w:rsidR="001146A4" w:rsidRPr="0074763F" w:rsidRDefault="004C62C5" w:rsidP="00883639">
      <w:pPr>
        <w:numPr>
          <w:ilvl w:val="0"/>
          <w:numId w:val="15"/>
        </w:numPr>
        <w:spacing w:after="0"/>
        <w:jc w:val="both"/>
        <w:rPr>
          <w:rFonts w:ascii="Arial Narrow" w:hAnsi="Arial Narrow"/>
          <w:bCs/>
          <w:sz w:val="20"/>
          <w:szCs w:val="20"/>
        </w:rPr>
      </w:pPr>
      <w:r w:rsidRPr="0074763F">
        <w:rPr>
          <w:rFonts w:ascii="Arial Narrow" w:hAnsi="Arial Narrow"/>
          <w:b/>
          <w:bCs/>
          <w:sz w:val="20"/>
          <w:szCs w:val="20"/>
        </w:rPr>
        <w:t>Eficiência</w:t>
      </w:r>
      <w:r w:rsidR="00786E80" w:rsidRPr="0074763F">
        <w:rPr>
          <w:rFonts w:ascii="Arial Narrow" w:hAnsi="Arial Narrow" w:cs="Arial"/>
          <w:b/>
          <w:sz w:val="20"/>
          <w:szCs w:val="20"/>
        </w:rPr>
        <w:t xml:space="preserve">, </w:t>
      </w:r>
      <w:r w:rsidR="00BC50C8" w:rsidRPr="0074763F">
        <w:rPr>
          <w:rFonts w:ascii="Arial Narrow" w:hAnsi="Arial Narrow" w:cs="Arial"/>
          <w:b/>
          <w:sz w:val="20"/>
          <w:szCs w:val="20"/>
        </w:rPr>
        <w:t xml:space="preserve">Desempenho e </w:t>
      </w:r>
      <w:r w:rsidR="00786E80" w:rsidRPr="0074763F">
        <w:rPr>
          <w:rFonts w:ascii="Arial Narrow" w:hAnsi="Arial Narrow" w:cs="Arial"/>
          <w:b/>
          <w:sz w:val="20"/>
          <w:szCs w:val="20"/>
        </w:rPr>
        <w:t>Sustentabilidade</w:t>
      </w:r>
      <w:r w:rsidR="001146A4" w:rsidRPr="0074763F">
        <w:rPr>
          <w:rFonts w:ascii="Arial Narrow" w:hAnsi="Arial Narrow" w:cs="Arial"/>
          <w:b/>
          <w:sz w:val="20"/>
          <w:szCs w:val="20"/>
        </w:rPr>
        <w:t xml:space="preserve"> </w:t>
      </w:r>
      <w:r w:rsidR="00A8541F" w:rsidRPr="0074763F">
        <w:rPr>
          <w:rFonts w:ascii="Arial Narrow" w:hAnsi="Arial Narrow"/>
          <w:bCs/>
          <w:sz w:val="20"/>
          <w:szCs w:val="20"/>
        </w:rPr>
        <w:t>(6</w:t>
      </w:r>
      <w:r w:rsidR="005D73CC" w:rsidRPr="0074763F">
        <w:rPr>
          <w:rFonts w:ascii="Arial Narrow" w:hAnsi="Arial Narrow"/>
          <w:bCs/>
          <w:sz w:val="20"/>
          <w:szCs w:val="20"/>
        </w:rPr>
        <w:t>0%)</w:t>
      </w:r>
    </w:p>
    <w:p w14:paraId="2D7C48A3" w14:textId="77777777" w:rsidR="00883639" w:rsidRPr="0074763F" w:rsidRDefault="00883639" w:rsidP="00660E7C">
      <w:pPr>
        <w:spacing w:after="120" w:line="360" w:lineRule="auto"/>
        <w:jc w:val="both"/>
        <w:rPr>
          <w:rFonts w:ascii="Arial Narrow" w:eastAsia="Times New Roman" w:hAnsi="Arial Narrow" w:cs="Times New Roman"/>
          <w:color w:val="000000"/>
          <w:sz w:val="20"/>
          <w:szCs w:val="20"/>
          <w:lang w:eastAsia="pt-PT"/>
        </w:rPr>
      </w:pPr>
    </w:p>
    <w:p w14:paraId="13FB64DE" w14:textId="77777777" w:rsidR="00AC24C6" w:rsidRPr="0074763F" w:rsidRDefault="001E2947" w:rsidP="00864B58">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Serão avaliados mais 3</w:t>
      </w:r>
      <w:r w:rsidR="004C62C5" w:rsidRPr="0074763F">
        <w:rPr>
          <w:rFonts w:ascii="Arial Narrow" w:eastAsia="Times New Roman" w:hAnsi="Arial Narrow" w:cs="Times New Roman"/>
          <w:color w:val="000000"/>
          <w:sz w:val="20"/>
          <w:szCs w:val="20"/>
          <w:lang w:eastAsia="pt-PT"/>
        </w:rPr>
        <w:t xml:space="preserve"> vertentes da operação candidata: </w:t>
      </w:r>
    </w:p>
    <w:p w14:paraId="2E594F59" w14:textId="77777777" w:rsidR="00AC24C6" w:rsidRPr="0074763F" w:rsidRDefault="00BC50C8" w:rsidP="004F2575">
      <w:pPr>
        <w:pStyle w:val="PargrafodaLista"/>
        <w:numPr>
          <w:ilvl w:val="0"/>
          <w:numId w:val="31"/>
        </w:numPr>
        <w:spacing w:before="120" w:after="0" w:line="320" w:lineRule="atLeast"/>
        <w:contextualSpacing w:val="0"/>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R</w:t>
      </w:r>
      <w:r w:rsidR="00786E80" w:rsidRPr="0074763F">
        <w:rPr>
          <w:rFonts w:ascii="Arial Narrow" w:eastAsia="Times New Roman" w:hAnsi="Arial Narrow" w:cs="Times New Roman"/>
          <w:color w:val="000000"/>
          <w:sz w:val="20"/>
          <w:szCs w:val="20"/>
          <w:lang w:eastAsia="pt-PT"/>
        </w:rPr>
        <w:t>acionalidade económica</w:t>
      </w:r>
      <w:r w:rsidR="005D73CC" w:rsidRPr="0074763F">
        <w:rPr>
          <w:rFonts w:ascii="Arial Narrow" w:eastAsia="Times New Roman" w:hAnsi="Arial Narrow" w:cs="Times New Roman"/>
          <w:color w:val="000000"/>
          <w:sz w:val="20"/>
          <w:szCs w:val="20"/>
          <w:lang w:eastAsia="pt-PT"/>
        </w:rPr>
        <w:t>;</w:t>
      </w:r>
      <w:r w:rsidR="00786E80" w:rsidRPr="0074763F">
        <w:rPr>
          <w:rFonts w:ascii="Arial Narrow" w:eastAsia="Times New Roman" w:hAnsi="Arial Narrow" w:cs="Times New Roman"/>
          <w:color w:val="000000"/>
          <w:sz w:val="20"/>
          <w:szCs w:val="20"/>
          <w:lang w:eastAsia="pt-PT"/>
        </w:rPr>
        <w:t xml:space="preserve"> </w:t>
      </w:r>
    </w:p>
    <w:p w14:paraId="3345D3BD" w14:textId="77777777" w:rsidR="00AC24C6" w:rsidRPr="0074763F" w:rsidRDefault="00513563" w:rsidP="004F2575">
      <w:pPr>
        <w:pStyle w:val="PargrafodaLista"/>
        <w:numPr>
          <w:ilvl w:val="0"/>
          <w:numId w:val="31"/>
        </w:numPr>
        <w:spacing w:before="60" w:after="0" w:line="320" w:lineRule="atLeast"/>
        <w:contextualSpacing w:val="0"/>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Grau de desempenho</w:t>
      </w:r>
      <w:r w:rsidR="00751F17" w:rsidRPr="0074763F">
        <w:rPr>
          <w:rFonts w:ascii="Arial Narrow" w:eastAsia="Times New Roman" w:hAnsi="Arial Narrow" w:cs="Times New Roman"/>
          <w:color w:val="000000"/>
          <w:sz w:val="20"/>
          <w:szCs w:val="20"/>
          <w:lang w:eastAsia="pt-PT"/>
        </w:rPr>
        <w:t>;</w:t>
      </w:r>
    </w:p>
    <w:p w14:paraId="18D8BB4D" w14:textId="5C2C73B0" w:rsidR="00BC50C8" w:rsidRPr="0074763F" w:rsidRDefault="00BC50C8" w:rsidP="004F2575">
      <w:pPr>
        <w:pStyle w:val="PargrafodaLista"/>
        <w:numPr>
          <w:ilvl w:val="0"/>
          <w:numId w:val="31"/>
        </w:numPr>
        <w:spacing w:before="60" w:after="0" w:line="320" w:lineRule="atLeast"/>
        <w:contextualSpacing w:val="0"/>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Sistemas de </w:t>
      </w:r>
      <w:r w:rsidR="00B86B71" w:rsidRPr="0074763F">
        <w:rPr>
          <w:rFonts w:ascii="Arial Narrow" w:eastAsia="Times New Roman" w:hAnsi="Arial Narrow" w:cs="Times New Roman"/>
          <w:color w:val="000000"/>
          <w:sz w:val="20"/>
          <w:szCs w:val="20"/>
          <w:lang w:eastAsia="pt-PT"/>
        </w:rPr>
        <w:t xml:space="preserve">produção para </w:t>
      </w:r>
      <w:r w:rsidRPr="0074763F">
        <w:rPr>
          <w:rFonts w:ascii="Arial Narrow" w:eastAsia="Times New Roman" w:hAnsi="Arial Narrow" w:cs="Times New Roman"/>
          <w:color w:val="000000"/>
          <w:sz w:val="20"/>
          <w:szCs w:val="20"/>
          <w:lang w:eastAsia="pt-PT"/>
        </w:rPr>
        <w:t>autoconsumo</w:t>
      </w:r>
      <w:r w:rsidR="00751F17" w:rsidRPr="0074763F">
        <w:rPr>
          <w:rFonts w:ascii="Arial Narrow" w:eastAsia="Times New Roman" w:hAnsi="Arial Narrow" w:cs="Times New Roman"/>
          <w:color w:val="000000"/>
          <w:sz w:val="20"/>
          <w:szCs w:val="20"/>
          <w:lang w:eastAsia="pt-PT"/>
        </w:rPr>
        <w:t>.</w:t>
      </w:r>
    </w:p>
    <w:p w14:paraId="4D9630F2" w14:textId="77777777" w:rsidR="00B86B71" w:rsidRPr="0074763F" w:rsidRDefault="00B86B71" w:rsidP="004F2575">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Nos </w:t>
      </w:r>
      <w:r w:rsidR="001E2947" w:rsidRPr="0074763F">
        <w:rPr>
          <w:rFonts w:ascii="Arial Narrow" w:eastAsia="Times New Roman" w:hAnsi="Arial Narrow" w:cs="Times New Roman"/>
          <w:color w:val="000000"/>
          <w:sz w:val="20"/>
          <w:szCs w:val="20"/>
          <w:lang w:eastAsia="pt-PT"/>
        </w:rPr>
        <w:t xml:space="preserve">dois </w:t>
      </w:r>
      <w:r w:rsidRPr="0074763F">
        <w:rPr>
          <w:rFonts w:ascii="Arial Narrow" w:eastAsia="Times New Roman" w:hAnsi="Arial Narrow" w:cs="Times New Roman"/>
          <w:color w:val="000000"/>
          <w:sz w:val="20"/>
          <w:szCs w:val="20"/>
          <w:lang w:eastAsia="pt-PT"/>
        </w:rPr>
        <w:t>primeiros subcritérios</w:t>
      </w:r>
      <w:r w:rsidR="00513563" w:rsidRPr="0074763F">
        <w:rPr>
          <w:rFonts w:ascii="Arial Narrow" w:eastAsia="Times New Roman" w:hAnsi="Arial Narrow" w:cs="Times New Roman"/>
          <w:color w:val="000000"/>
          <w:sz w:val="20"/>
          <w:szCs w:val="20"/>
          <w:lang w:eastAsia="pt-PT"/>
        </w:rPr>
        <w:t xml:space="preserve"> </w:t>
      </w:r>
      <w:r w:rsidR="005D73A8" w:rsidRPr="0074763F">
        <w:rPr>
          <w:rFonts w:ascii="Arial Narrow" w:eastAsia="Times New Roman" w:hAnsi="Arial Narrow" w:cs="Times New Roman"/>
          <w:color w:val="000000"/>
          <w:sz w:val="20"/>
          <w:szCs w:val="20"/>
          <w:lang w:eastAsia="pt-PT"/>
        </w:rPr>
        <w:t xml:space="preserve">serão considerados 3 </w:t>
      </w:r>
      <w:r w:rsidR="0060531D" w:rsidRPr="0074763F">
        <w:rPr>
          <w:rFonts w:ascii="Arial Narrow" w:eastAsia="Times New Roman" w:hAnsi="Arial Narrow" w:cs="Times New Roman"/>
          <w:color w:val="000000"/>
          <w:sz w:val="20"/>
          <w:szCs w:val="20"/>
          <w:lang w:eastAsia="pt-PT"/>
        </w:rPr>
        <w:t xml:space="preserve">parâmetros de pontuação: </w:t>
      </w:r>
      <w:r w:rsidR="0060531D" w:rsidRPr="0074763F">
        <w:rPr>
          <w:rFonts w:ascii="Arial Narrow" w:eastAsia="Times New Roman" w:hAnsi="Arial Narrow" w:cs="Times New Roman"/>
          <w:b/>
          <w:color w:val="000000"/>
          <w:sz w:val="20"/>
          <w:szCs w:val="20"/>
          <w:lang w:eastAsia="pt-PT"/>
        </w:rPr>
        <w:t>1 a 2</w:t>
      </w:r>
      <w:r w:rsidR="0060531D" w:rsidRPr="0074763F">
        <w:rPr>
          <w:rFonts w:ascii="Arial Narrow" w:eastAsia="Times New Roman" w:hAnsi="Arial Narrow" w:cs="Times New Roman"/>
          <w:color w:val="000000"/>
          <w:sz w:val="20"/>
          <w:szCs w:val="20"/>
          <w:lang w:eastAsia="pt-PT"/>
        </w:rPr>
        <w:t>, q</w:t>
      </w:r>
      <w:r w:rsidR="005D73A8" w:rsidRPr="0074763F">
        <w:rPr>
          <w:rFonts w:ascii="Arial Narrow" w:eastAsia="Times New Roman" w:hAnsi="Arial Narrow" w:cs="Times New Roman"/>
          <w:color w:val="000000"/>
          <w:sz w:val="20"/>
          <w:szCs w:val="20"/>
          <w:lang w:eastAsia="pt-PT"/>
        </w:rPr>
        <w:t xml:space="preserve">uando a avaliação obtida em cada subcritério não é relevante ou com puco significado; </w:t>
      </w:r>
      <w:r w:rsidR="005D73A8" w:rsidRPr="0074763F">
        <w:rPr>
          <w:rFonts w:ascii="Arial Narrow" w:eastAsia="Times New Roman" w:hAnsi="Arial Narrow" w:cs="Times New Roman"/>
          <w:b/>
          <w:color w:val="000000"/>
          <w:sz w:val="20"/>
          <w:szCs w:val="20"/>
          <w:lang w:eastAsia="pt-PT"/>
        </w:rPr>
        <w:t>3</w:t>
      </w:r>
      <w:r w:rsidR="005D73A8" w:rsidRPr="0074763F">
        <w:rPr>
          <w:rFonts w:ascii="Arial Narrow" w:eastAsia="Times New Roman" w:hAnsi="Arial Narrow" w:cs="Times New Roman"/>
          <w:color w:val="000000"/>
          <w:sz w:val="20"/>
          <w:szCs w:val="20"/>
          <w:lang w:eastAsia="pt-PT"/>
        </w:rPr>
        <w:t xml:space="preserve"> quando o resultado da avaliação se enquadra dentro dos parâmetros normais verificáveis na ilha/Região, tendo por base um intervalo de 8% (</w:t>
      </w:r>
      <w:r w:rsidR="00A8541F" w:rsidRPr="0074763F">
        <w:rPr>
          <w:rFonts w:ascii="Arial Narrow" w:eastAsia="Times New Roman" w:hAnsi="Arial Narrow" w:cs="Times New Roman"/>
          <w:color w:val="000000"/>
          <w:sz w:val="20"/>
          <w:szCs w:val="20"/>
          <w:lang w:eastAsia="pt-PT"/>
        </w:rPr>
        <w:t>desvio de 4% para cima ou</w:t>
      </w:r>
      <w:r w:rsidR="005D73A8" w:rsidRPr="0074763F">
        <w:rPr>
          <w:rFonts w:ascii="Arial Narrow" w:eastAsia="Times New Roman" w:hAnsi="Arial Narrow" w:cs="Times New Roman"/>
          <w:color w:val="000000"/>
          <w:sz w:val="20"/>
          <w:szCs w:val="20"/>
          <w:lang w:eastAsia="pt-PT"/>
        </w:rPr>
        <w:t xml:space="preserve"> 4% para baixo), quando há utilização de medida estatística de localização estatística, como seja a média, e </w:t>
      </w:r>
      <w:r w:rsidR="005D73A8" w:rsidRPr="0074763F">
        <w:rPr>
          <w:rFonts w:ascii="Arial Narrow" w:eastAsia="Times New Roman" w:hAnsi="Arial Narrow" w:cs="Times New Roman"/>
          <w:b/>
          <w:color w:val="000000"/>
          <w:sz w:val="20"/>
          <w:szCs w:val="20"/>
          <w:lang w:eastAsia="pt-PT"/>
        </w:rPr>
        <w:t>4 a 5</w:t>
      </w:r>
      <w:r w:rsidR="005D73A8" w:rsidRPr="0074763F">
        <w:rPr>
          <w:rFonts w:ascii="Arial Narrow" w:eastAsia="Times New Roman" w:hAnsi="Arial Narrow" w:cs="Times New Roman"/>
          <w:color w:val="000000"/>
          <w:sz w:val="20"/>
          <w:szCs w:val="20"/>
          <w:lang w:eastAsia="pt-PT"/>
        </w:rPr>
        <w:t>, quando os resultados da avaliação superam valores médios e/ou significam especial interesse e relevância, após ponderação da justificação para a atribuição da pontuação.</w:t>
      </w:r>
      <w:r w:rsidR="00DA4388" w:rsidRPr="0074763F">
        <w:rPr>
          <w:rFonts w:ascii="Arial Narrow" w:eastAsia="Times New Roman" w:hAnsi="Arial Narrow" w:cs="Times New Roman"/>
          <w:color w:val="000000"/>
          <w:sz w:val="20"/>
          <w:szCs w:val="20"/>
          <w:lang w:eastAsia="pt-PT"/>
        </w:rPr>
        <w:t xml:space="preserve"> </w:t>
      </w:r>
    </w:p>
    <w:p w14:paraId="15E081B1" w14:textId="77777777" w:rsidR="005D73A8" w:rsidRPr="0074763F" w:rsidRDefault="00DA4388" w:rsidP="004F2575">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Para o caso especifico da instalação de </w:t>
      </w:r>
      <w:r w:rsidR="0060531D" w:rsidRPr="0074763F">
        <w:rPr>
          <w:rFonts w:ascii="Arial Narrow" w:eastAsia="Times New Roman" w:hAnsi="Arial Narrow" w:cs="Times New Roman"/>
          <w:color w:val="000000"/>
          <w:sz w:val="20"/>
          <w:szCs w:val="20"/>
          <w:lang w:eastAsia="pt-PT"/>
        </w:rPr>
        <w:t>sistemas para autoconsumo a pontuação atribuída será de 5 pontos se previsto, 3 pontos para os restantes situações.</w:t>
      </w:r>
    </w:p>
    <w:p w14:paraId="60DC2B9B" w14:textId="77777777" w:rsidR="00B86B71" w:rsidRPr="0074763F" w:rsidRDefault="00B86B71" w:rsidP="00864B58">
      <w:pPr>
        <w:spacing w:before="120" w:after="0" w:line="320" w:lineRule="atLeast"/>
        <w:ind w:left="360"/>
        <w:jc w:val="both"/>
        <w:rPr>
          <w:rFonts w:ascii="Arial Narrow" w:eastAsia="Times New Roman" w:hAnsi="Arial Narrow" w:cs="Times New Roman"/>
          <w:color w:val="000000"/>
          <w:sz w:val="20"/>
          <w:szCs w:val="20"/>
          <w:lang w:eastAsia="pt-PT"/>
        </w:rPr>
      </w:pPr>
    </w:p>
    <w:p w14:paraId="7981BE02" w14:textId="77777777" w:rsidR="00864B58" w:rsidRDefault="00864B58">
      <w:pPr>
        <w:rPr>
          <w:rFonts w:ascii="Arial Narrow" w:eastAsia="Times New Roman" w:hAnsi="Arial Narrow" w:cs="Times New Roman"/>
          <w:color w:val="000000"/>
          <w:sz w:val="20"/>
          <w:szCs w:val="20"/>
          <w:lang w:eastAsia="pt-PT"/>
        </w:rPr>
      </w:pPr>
      <w:r>
        <w:rPr>
          <w:rFonts w:ascii="Arial Narrow" w:eastAsia="Times New Roman" w:hAnsi="Arial Narrow" w:cs="Times New Roman"/>
          <w:color w:val="000000"/>
          <w:sz w:val="20"/>
          <w:szCs w:val="20"/>
          <w:lang w:eastAsia="pt-PT"/>
        </w:rPr>
        <w:br w:type="page"/>
      </w:r>
    </w:p>
    <w:p w14:paraId="016357BA" w14:textId="77777777" w:rsidR="0089314C" w:rsidRPr="0074763F" w:rsidRDefault="005D73CC" w:rsidP="00864B58">
      <w:pPr>
        <w:spacing w:before="120" w:after="0" w:line="320" w:lineRule="atLeast"/>
        <w:ind w:left="360"/>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lastRenderedPageBreak/>
        <w:t>Em termos esquemáticos temos:</w:t>
      </w:r>
    </w:p>
    <w:p w14:paraId="5B293DEE" w14:textId="77777777" w:rsidR="006F72B8" w:rsidRPr="0074763F" w:rsidRDefault="006F72B8" w:rsidP="00864B58">
      <w:pPr>
        <w:spacing w:before="120" w:after="0" w:line="320" w:lineRule="atLeast"/>
        <w:ind w:left="360"/>
        <w:jc w:val="both"/>
        <w:rPr>
          <w:rFonts w:ascii="Arial Narrow" w:eastAsia="Times New Roman" w:hAnsi="Arial Narrow" w:cs="Times New Roman"/>
          <w:color w:val="000000"/>
          <w:sz w:val="20"/>
          <w:szCs w:val="20"/>
          <w:lang w:eastAsia="pt-PT"/>
        </w:rPr>
      </w:pPr>
    </w:p>
    <w:tbl>
      <w:tblPr>
        <w:tblW w:w="9153" w:type="dxa"/>
        <w:jc w:val="center"/>
        <w:tblCellMar>
          <w:left w:w="70" w:type="dxa"/>
          <w:right w:w="70" w:type="dxa"/>
        </w:tblCellMar>
        <w:tblLook w:val="04A0" w:firstRow="1" w:lastRow="0" w:firstColumn="1" w:lastColumn="0" w:noHBand="0" w:noVBand="1"/>
      </w:tblPr>
      <w:tblGrid>
        <w:gridCol w:w="4059"/>
        <w:gridCol w:w="1224"/>
        <w:gridCol w:w="1163"/>
        <w:gridCol w:w="1307"/>
        <w:gridCol w:w="1400"/>
      </w:tblGrid>
      <w:tr w:rsidR="0074763F" w:rsidRPr="00864B58" w14:paraId="6B415DFE" w14:textId="77777777" w:rsidTr="00864B58">
        <w:trPr>
          <w:trHeight w:val="397"/>
          <w:jc w:val="center"/>
        </w:trPr>
        <w:tc>
          <w:tcPr>
            <w:tcW w:w="4059" w:type="dxa"/>
            <w:vMerge w:val="restart"/>
            <w:tcBorders>
              <w:top w:val="single" w:sz="4" w:space="0" w:color="auto"/>
              <w:left w:val="single" w:sz="4" w:space="0" w:color="auto"/>
              <w:right w:val="single" w:sz="4" w:space="0" w:color="auto"/>
            </w:tcBorders>
            <w:vAlign w:val="center"/>
          </w:tcPr>
          <w:p w14:paraId="5839B89D"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Subcritério</w:t>
            </w:r>
          </w:p>
        </w:tc>
        <w:tc>
          <w:tcPr>
            <w:tcW w:w="1224" w:type="dxa"/>
            <w:vMerge w:val="restart"/>
            <w:tcBorders>
              <w:top w:val="single" w:sz="4" w:space="0" w:color="auto"/>
              <w:left w:val="single" w:sz="4" w:space="0" w:color="auto"/>
              <w:right w:val="single" w:sz="4" w:space="0" w:color="auto"/>
            </w:tcBorders>
            <w:vAlign w:val="center"/>
          </w:tcPr>
          <w:p w14:paraId="396C4C95"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Ponderador</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C2B90A"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Pontuação</w:t>
            </w:r>
          </w:p>
        </w:tc>
      </w:tr>
      <w:tr w:rsidR="0074763F" w:rsidRPr="00864B58" w14:paraId="49D86F7B" w14:textId="77777777" w:rsidTr="00864B58">
        <w:trPr>
          <w:trHeight w:val="510"/>
          <w:jc w:val="center"/>
        </w:trPr>
        <w:tc>
          <w:tcPr>
            <w:tcW w:w="4059" w:type="dxa"/>
            <w:vMerge/>
            <w:tcBorders>
              <w:left w:val="single" w:sz="4" w:space="0" w:color="auto"/>
              <w:bottom w:val="single" w:sz="4" w:space="0" w:color="auto"/>
              <w:right w:val="single" w:sz="4" w:space="0" w:color="auto"/>
            </w:tcBorders>
            <w:vAlign w:val="center"/>
          </w:tcPr>
          <w:p w14:paraId="45BFBD4D"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p>
        </w:tc>
        <w:tc>
          <w:tcPr>
            <w:tcW w:w="1224" w:type="dxa"/>
            <w:vMerge/>
            <w:tcBorders>
              <w:left w:val="single" w:sz="4" w:space="0" w:color="auto"/>
              <w:bottom w:val="single" w:sz="4" w:space="0" w:color="auto"/>
              <w:right w:val="single" w:sz="4" w:space="0" w:color="auto"/>
            </w:tcBorders>
            <w:vAlign w:val="center"/>
          </w:tcPr>
          <w:p w14:paraId="67CE1FB1"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B8A4"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Inexistente /</w:t>
            </w:r>
          </w:p>
          <w:p w14:paraId="229268A3"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Fraco</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65C4EEC2"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Médio</w:t>
            </w:r>
          </w:p>
        </w:tc>
        <w:tc>
          <w:tcPr>
            <w:tcW w:w="1400" w:type="dxa"/>
            <w:tcBorders>
              <w:top w:val="single" w:sz="4" w:space="0" w:color="auto"/>
              <w:left w:val="nil"/>
              <w:bottom w:val="single" w:sz="4" w:space="0" w:color="auto"/>
              <w:right w:val="single" w:sz="4" w:space="0" w:color="auto"/>
            </w:tcBorders>
            <w:vAlign w:val="center"/>
          </w:tcPr>
          <w:p w14:paraId="4F08757F"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Elevado</w:t>
            </w:r>
          </w:p>
          <w:p w14:paraId="12906DFE" w14:textId="77777777" w:rsidR="0074763F" w:rsidRPr="00864B58" w:rsidRDefault="0074763F"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 Significativo</w:t>
            </w:r>
          </w:p>
        </w:tc>
      </w:tr>
      <w:tr w:rsidR="001E2947" w:rsidRPr="0074763F" w14:paraId="08E451D3" w14:textId="77777777" w:rsidTr="00864B58">
        <w:trPr>
          <w:trHeigh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F39A318" w14:textId="77777777" w:rsidR="001E2947" w:rsidRPr="00864B58" w:rsidRDefault="001E2947" w:rsidP="00864B58">
            <w:pPr>
              <w:pStyle w:val="PargrafodaLista"/>
              <w:numPr>
                <w:ilvl w:val="0"/>
                <w:numId w:val="30"/>
              </w:numPr>
              <w:spacing w:after="0" w:line="240" w:lineRule="auto"/>
              <w:ind w:left="255" w:hanging="218"/>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Racionalidade</w:t>
            </w:r>
            <w:r w:rsidR="00864B58">
              <w:rPr>
                <w:rFonts w:ascii="Arial Narrow" w:eastAsia="Times New Roman" w:hAnsi="Arial Narrow" w:cs="Times New Roman"/>
                <w:b/>
                <w:bCs/>
                <w:color w:val="000000"/>
                <w:sz w:val="18"/>
                <w:szCs w:val="18"/>
                <w:lang w:eastAsia="pt-PT"/>
              </w:rPr>
              <w:t xml:space="preserve"> </w:t>
            </w:r>
            <w:r w:rsidRPr="00864B58">
              <w:rPr>
                <w:rFonts w:ascii="Arial Narrow" w:eastAsia="Times New Roman" w:hAnsi="Arial Narrow" w:cs="Times New Roman"/>
                <w:b/>
                <w:bCs/>
                <w:color w:val="000000"/>
                <w:sz w:val="18"/>
                <w:szCs w:val="18"/>
                <w:lang w:eastAsia="pt-PT"/>
              </w:rPr>
              <w:t>Económica</w:t>
            </w:r>
          </w:p>
          <w:p w14:paraId="3132884A" w14:textId="77777777" w:rsidR="001E2947" w:rsidRPr="0074763F" w:rsidRDefault="001E2947" w:rsidP="00864B58">
            <w:pPr>
              <w:pStyle w:val="PargrafodaLista"/>
              <w:spacing w:after="0" w:line="280" w:lineRule="atLeast"/>
              <w:ind w:left="255"/>
              <w:contextualSpacing w:val="0"/>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Avaliada a partir do ratio entre o investimento e a redução do consumo (tep)</w:t>
            </w:r>
          </w:p>
        </w:tc>
        <w:tc>
          <w:tcPr>
            <w:tcW w:w="1224" w:type="dxa"/>
            <w:tcBorders>
              <w:top w:val="single" w:sz="4" w:space="0" w:color="auto"/>
              <w:left w:val="single" w:sz="4" w:space="0" w:color="auto"/>
              <w:bottom w:val="single" w:sz="4" w:space="0" w:color="auto"/>
              <w:right w:val="single" w:sz="4" w:space="0" w:color="auto"/>
            </w:tcBorders>
            <w:vAlign w:val="center"/>
          </w:tcPr>
          <w:p w14:paraId="7AA35E0A" w14:textId="77777777" w:rsidR="001E2947" w:rsidRPr="0074763F" w:rsidRDefault="001E294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40%</w:t>
            </w:r>
          </w:p>
        </w:tc>
        <w:tc>
          <w:tcPr>
            <w:tcW w:w="1163" w:type="dxa"/>
            <w:vMerge w:val="restart"/>
            <w:tcBorders>
              <w:top w:val="single" w:sz="4" w:space="0" w:color="auto"/>
              <w:left w:val="single" w:sz="4" w:space="0" w:color="auto"/>
              <w:right w:val="single" w:sz="4" w:space="0" w:color="auto"/>
            </w:tcBorders>
            <w:shd w:val="clear" w:color="auto" w:fill="auto"/>
            <w:noWrap/>
            <w:vAlign w:val="center"/>
            <w:hideMark/>
          </w:tcPr>
          <w:p w14:paraId="685B99B2" w14:textId="77777777" w:rsidR="001E2947" w:rsidRPr="004F2575" w:rsidRDefault="001E2947" w:rsidP="0074763F">
            <w:pPr>
              <w:spacing w:after="0" w:line="240" w:lineRule="auto"/>
              <w:jc w:val="center"/>
              <w:rPr>
                <w:rFonts w:ascii="Arial Narrow" w:eastAsia="Times New Roman" w:hAnsi="Arial Narrow" w:cs="Times New Roman"/>
                <w:color w:val="000000"/>
                <w:sz w:val="20"/>
                <w:szCs w:val="20"/>
                <w:lang w:eastAsia="pt-PT"/>
              </w:rPr>
            </w:pPr>
            <w:r w:rsidRPr="004F2575">
              <w:rPr>
                <w:rFonts w:ascii="Arial Narrow" w:eastAsia="Times New Roman" w:hAnsi="Arial Narrow" w:cs="Times New Roman"/>
                <w:i/>
                <w:color w:val="000000"/>
                <w:sz w:val="20"/>
                <w:szCs w:val="20"/>
                <w:lang w:eastAsia="pt-PT"/>
              </w:rPr>
              <w:t>1</w:t>
            </w:r>
            <w:r w:rsidR="0074763F" w:rsidRPr="004F2575">
              <w:rPr>
                <w:rFonts w:ascii="Arial Narrow" w:eastAsia="Times New Roman" w:hAnsi="Arial Narrow" w:cs="Times New Roman"/>
                <w:i/>
                <w:color w:val="000000"/>
                <w:sz w:val="20"/>
                <w:szCs w:val="20"/>
                <w:lang w:eastAsia="pt-PT"/>
              </w:rPr>
              <w:t xml:space="preserve"> </w:t>
            </w:r>
            <w:proofErr w:type="gramStart"/>
            <w:r w:rsidRPr="004F2575">
              <w:rPr>
                <w:rFonts w:ascii="Arial Narrow" w:eastAsia="Times New Roman" w:hAnsi="Arial Narrow" w:cs="Times New Roman"/>
                <w:i/>
                <w:color w:val="000000"/>
                <w:sz w:val="20"/>
                <w:szCs w:val="20"/>
                <w:lang w:eastAsia="pt-PT"/>
              </w:rPr>
              <w:t>a</w:t>
            </w:r>
            <w:proofErr w:type="gramEnd"/>
            <w:r w:rsidR="0074763F" w:rsidRPr="004F2575">
              <w:rPr>
                <w:rFonts w:ascii="Arial Narrow" w:eastAsia="Times New Roman" w:hAnsi="Arial Narrow" w:cs="Times New Roman"/>
                <w:i/>
                <w:color w:val="000000"/>
                <w:sz w:val="20"/>
                <w:szCs w:val="20"/>
                <w:lang w:eastAsia="pt-PT"/>
              </w:rPr>
              <w:t xml:space="preserve"> </w:t>
            </w:r>
            <w:r w:rsidRPr="004F2575">
              <w:rPr>
                <w:rFonts w:ascii="Arial Narrow" w:eastAsia="Times New Roman" w:hAnsi="Arial Narrow" w:cs="Times New Roman"/>
                <w:i/>
                <w:color w:val="000000"/>
                <w:sz w:val="20"/>
                <w:szCs w:val="20"/>
                <w:lang w:eastAsia="pt-PT"/>
              </w:rPr>
              <w:t>2</w:t>
            </w:r>
          </w:p>
        </w:tc>
        <w:tc>
          <w:tcPr>
            <w:tcW w:w="1307" w:type="dxa"/>
            <w:vMerge w:val="restart"/>
            <w:tcBorders>
              <w:top w:val="single" w:sz="4" w:space="0" w:color="auto"/>
              <w:left w:val="single" w:sz="4" w:space="0" w:color="auto"/>
              <w:right w:val="single" w:sz="4" w:space="0" w:color="auto"/>
            </w:tcBorders>
            <w:shd w:val="clear" w:color="auto" w:fill="auto"/>
            <w:noWrap/>
            <w:vAlign w:val="center"/>
            <w:hideMark/>
          </w:tcPr>
          <w:p w14:paraId="1D242971" w14:textId="77777777" w:rsidR="001E2947" w:rsidRPr="004F2575" w:rsidRDefault="001E2947" w:rsidP="0074763F">
            <w:pPr>
              <w:spacing w:after="0" w:line="240" w:lineRule="auto"/>
              <w:jc w:val="center"/>
              <w:rPr>
                <w:rFonts w:ascii="Arial Narrow" w:eastAsia="Times New Roman" w:hAnsi="Arial Narrow" w:cs="Times New Roman"/>
                <w:bCs/>
                <w:color w:val="000000"/>
                <w:sz w:val="20"/>
                <w:szCs w:val="20"/>
                <w:lang w:eastAsia="pt-PT"/>
              </w:rPr>
            </w:pPr>
            <w:r w:rsidRPr="004F2575">
              <w:rPr>
                <w:rFonts w:ascii="Arial Narrow" w:eastAsia="Times New Roman" w:hAnsi="Arial Narrow" w:cs="Times New Roman"/>
                <w:bCs/>
                <w:i/>
                <w:color w:val="000000"/>
                <w:sz w:val="20"/>
                <w:szCs w:val="20"/>
                <w:lang w:eastAsia="pt-PT"/>
              </w:rPr>
              <w:t>3</w:t>
            </w:r>
          </w:p>
        </w:tc>
        <w:tc>
          <w:tcPr>
            <w:tcW w:w="1400" w:type="dxa"/>
            <w:vMerge w:val="restart"/>
            <w:tcBorders>
              <w:top w:val="single" w:sz="4" w:space="0" w:color="auto"/>
              <w:left w:val="single" w:sz="4" w:space="0" w:color="auto"/>
              <w:right w:val="single" w:sz="4" w:space="0" w:color="auto"/>
            </w:tcBorders>
            <w:vAlign w:val="center"/>
          </w:tcPr>
          <w:p w14:paraId="0F569D7C" w14:textId="77777777" w:rsidR="001E2947" w:rsidRPr="004F2575" w:rsidRDefault="001E2947" w:rsidP="0074763F">
            <w:pPr>
              <w:spacing w:after="0" w:line="240" w:lineRule="auto"/>
              <w:jc w:val="center"/>
              <w:rPr>
                <w:rFonts w:ascii="Arial Narrow" w:eastAsia="Times New Roman" w:hAnsi="Arial Narrow" w:cs="Times New Roman"/>
                <w:color w:val="000000"/>
                <w:sz w:val="20"/>
                <w:szCs w:val="20"/>
                <w:lang w:eastAsia="pt-PT"/>
              </w:rPr>
            </w:pPr>
            <w:r w:rsidRPr="004F2575">
              <w:rPr>
                <w:rFonts w:ascii="Arial Narrow" w:eastAsia="Times New Roman" w:hAnsi="Arial Narrow" w:cs="Times New Roman"/>
                <w:i/>
                <w:color w:val="000000"/>
                <w:sz w:val="20"/>
                <w:szCs w:val="20"/>
                <w:lang w:eastAsia="pt-PT"/>
              </w:rPr>
              <w:t>4</w:t>
            </w:r>
            <w:r w:rsidR="0074763F" w:rsidRPr="004F2575">
              <w:rPr>
                <w:rFonts w:ascii="Arial Narrow" w:eastAsia="Times New Roman" w:hAnsi="Arial Narrow" w:cs="Times New Roman"/>
                <w:i/>
                <w:color w:val="000000"/>
                <w:sz w:val="20"/>
                <w:szCs w:val="20"/>
                <w:lang w:eastAsia="pt-PT"/>
              </w:rPr>
              <w:t xml:space="preserve"> </w:t>
            </w:r>
            <w:proofErr w:type="gramStart"/>
            <w:r w:rsidRPr="004F2575">
              <w:rPr>
                <w:rFonts w:ascii="Arial Narrow" w:eastAsia="Times New Roman" w:hAnsi="Arial Narrow" w:cs="Times New Roman"/>
                <w:i/>
                <w:color w:val="000000"/>
                <w:sz w:val="20"/>
                <w:szCs w:val="20"/>
                <w:lang w:eastAsia="pt-PT"/>
              </w:rPr>
              <w:t>a</w:t>
            </w:r>
            <w:proofErr w:type="gramEnd"/>
            <w:r w:rsidR="0074763F" w:rsidRPr="004F2575">
              <w:rPr>
                <w:rFonts w:ascii="Arial Narrow" w:eastAsia="Times New Roman" w:hAnsi="Arial Narrow" w:cs="Times New Roman"/>
                <w:i/>
                <w:color w:val="000000"/>
                <w:sz w:val="20"/>
                <w:szCs w:val="20"/>
                <w:lang w:eastAsia="pt-PT"/>
              </w:rPr>
              <w:t xml:space="preserve"> </w:t>
            </w:r>
            <w:r w:rsidRPr="004F2575">
              <w:rPr>
                <w:rFonts w:ascii="Arial Narrow" w:eastAsia="Times New Roman" w:hAnsi="Arial Narrow" w:cs="Times New Roman"/>
                <w:i/>
                <w:color w:val="000000"/>
                <w:sz w:val="20"/>
                <w:szCs w:val="20"/>
                <w:lang w:eastAsia="pt-PT"/>
              </w:rPr>
              <w:t>5</w:t>
            </w:r>
          </w:p>
        </w:tc>
      </w:tr>
      <w:tr w:rsidR="001E2947" w:rsidRPr="0074763F" w14:paraId="6F11EB16" w14:textId="77777777" w:rsidTr="00864B58">
        <w:trPr>
          <w:trHeight w:val="1077"/>
          <w:jc w:val="center"/>
        </w:trPr>
        <w:tc>
          <w:tcPr>
            <w:tcW w:w="4059" w:type="dxa"/>
            <w:tcBorders>
              <w:top w:val="single" w:sz="4" w:space="0" w:color="auto"/>
              <w:left w:val="single" w:sz="4" w:space="0" w:color="auto"/>
              <w:bottom w:val="single" w:sz="4" w:space="0" w:color="auto"/>
              <w:right w:val="single" w:sz="4" w:space="0" w:color="auto"/>
            </w:tcBorders>
            <w:vAlign w:val="center"/>
          </w:tcPr>
          <w:p w14:paraId="3A23D2D6" w14:textId="77777777" w:rsidR="001E2947" w:rsidRPr="00864B58" w:rsidRDefault="001E2947" w:rsidP="00864B58">
            <w:pPr>
              <w:pStyle w:val="PargrafodaLista"/>
              <w:numPr>
                <w:ilvl w:val="0"/>
                <w:numId w:val="30"/>
              </w:numPr>
              <w:spacing w:after="0" w:line="240" w:lineRule="auto"/>
              <w:ind w:left="255" w:hanging="218"/>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Nível de Desempenho</w:t>
            </w:r>
          </w:p>
          <w:p w14:paraId="0B5C24A7" w14:textId="77777777" w:rsidR="001E2947" w:rsidRPr="0074763F" w:rsidRDefault="001E2947" w:rsidP="00864B58">
            <w:pPr>
              <w:pStyle w:val="PargrafodaLista"/>
              <w:spacing w:after="0" w:line="280" w:lineRule="atLeast"/>
              <w:ind w:left="255"/>
              <w:contextualSpacing w:val="0"/>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Aumento dos níveis de desempenho energético no certificado de desempenho do edifício.</w:t>
            </w:r>
          </w:p>
        </w:tc>
        <w:tc>
          <w:tcPr>
            <w:tcW w:w="1224" w:type="dxa"/>
            <w:tcBorders>
              <w:top w:val="single" w:sz="4" w:space="0" w:color="auto"/>
              <w:left w:val="single" w:sz="4" w:space="0" w:color="auto"/>
              <w:bottom w:val="single" w:sz="4" w:space="0" w:color="auto"/>
              <w:right w:val="single" w:sz="4" w:space="0" w:color="auto"/>
            </w:tcBorders>
            <w:vAlign w:val="center"/>
          </w:tcPr>
          <w:p w14:paraId="68F6C407" w14:textId="77777777" w:rsidR="001E2947" w:rsidRPr="0074763F" w:rsidRDefault="001E294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40%</w:t>
            </w:r>
          </w:p>
        </w:tc>
        <w:tc>
          <w:tcPr>
            <w:tcW w:w="1163" w:type="dxa"/>
            <w:vMerge/>
            <w:tcBorders>
              <w:left w:val="single" w:sz="4" w:space="0" w:color="auto"/>
              <w:right w:val="single" w:sz="4" w:space="0" w:color="auto"/>
            </w:tcBorders>
            <w:shd w:val="clear" w:color="auto" w:fill="auto"/>
            <w:noWrap/>
            <w:vAlign w:val="center"/>
          </w:tcPr>
          <w:p w14:paraId="5DCB2492" w14:textId="77777777" w:rsidR="001E2947" w:rsidRPr="0074763F" w:rsidRDefault="001E2947" w:rsidP="0074763F">
            <w:pPr>
              <w:spacing w:after="0" w:line="240" w:lineRule="auto"/>
              <w:jc w:val="center"/>
              <w:rPr>
                <w:rFonts w:ascii="Arial Narrow" w:eastAsia="Times New Roman" w:hAnsi="Arial Narrow" w:cs="Times New Roman"/>
                <w:color w:val="000000"/>
                <w:sz w:val="20"/>
                <w:szCs w:val="20"/>
                <w:lang w:eastAsia="pt-PT"/>
              </w:rPr>
            </w:pPr>
          </w:p>
        </w:tc>
        <w:tc>
          <w:tcPr>
            <w:tcW w:w="1307" w:type="dxa"/>
            <w:vMerge/>
            <w:tcBorders>
              <w:left w:val="single" w:sz="4" w:space="0" w:color="auto"/>
              <w:right w:val="single" w:sz="4" w:space="0" w:color="auto"/>
            </w:tcBorders>
            <w:shd w:val="clear" w:color="auto" w:fill="auto"/>
            <w:noWrap/>
            <w:vAlign w:val="center"/>
          </w:tcPr>
          <w:p w14:paraId="5546E1AF" w14:textId="77777777" w:rsidR="001E2947" w:rsidRPr="0074763F" w:rsidRDefault="001E2947" w:rsidP="0074763F">
            <w:pPr>
              <w:spacing w:after="0" w:line="240" w:lineRule="auto"/>
              <w:jc w:val="center"/>
              <w:rPr>
                <w:rFonts w:ascii="Arial Narrow" w:eastAsia="Times New Roman" w:hAnsi="Arial Narrow" w:cs="Times New Roman"/>
                <w:b/>
                <w:bCs/>
                <w:color w:val="000000"/>
                <w:sz w:val="20"/>
                <w:szCs w:val="20"/>
                <w:lang w:eastAsia="pt-PT"/>
              </w:rPr>
            </w:pPr>
          </w:p>
        </w:tc>
        <w:tc>
          <w:tcPr>
            <w:tcW w:w="1400" w:type="dxa"/>
            <w:vMerge/>
            <w:tcBorders>
              <w:left w:val="single" w:sz="4" w:space="0" w:color="auto"/>
              <w:right w:val="single" w:sz="4" w:space="0" w:color="auto"/>
            </w:tcBorders>
            <w:vAlign w:val="center"/>
          </w:tcPr>
          <w:p w14:paraId="1B4CDEF4" w14:textId="77777777" w:rsidR="001E2947" w:rsidRPr="0074763F" w:rsidRDefault="001E2947" w:rsidP="0074763F">
            <w:pPr>
              <w:spacing w:after="0" w:line="240" w:lineRule="auto"/>
              <w:jc w:val="center"/>
              <w:rPr>
                <w:rFonts w:ascii="Arial Narrow" w:eastAsia="Times New Roman" w:hAnsi="Arial Narrow" w:cs="Times New Roman"/>
                <w:color w:val="000000"/>
                <w:sz w:val="20"/>
                <w:szCs w:val="20"/>
                <w:lang w:eastAsia="pt-PT"/>
              </w:rPr>
            </w:pPr>
          </w:p>
        </w:tc>
      </w:tr>
      <w:tr w:rsidR="00B86B71" w:rsidRPr="0074763F" w14:paraId="72D9AEC5" w14:textId="77777777" w:rsidTr="00864B58">
        <w:trPr>
          <w:trHeight w:val="1247"/>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74B0E4" w14:textId="77777777" w:rsidR="00B86B71" w:rsidRPr="00864B58" w:rsidRDefault="00B86B71" w:rsidP="00864B58">
            <w:pPr>
              <w:pStyle w:val="PargrafodaLista"/>
              <w:numPr>
                <w:ilvl w:val="0"/>
                <w:numId w:val="30"/>
              </w:numPr>
              <w:spacing w:after="0" w:line="240" w:lineRule="auto"/>
              <w:ind w:left="255" w:hanging="218"/>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Instalação de sistemas de autoconsumo a partir de renováveis.</w:t>
            </w:r>
          </w:p>
          <w:p w14:paraId="20B2E516" w14:textId="77777777" w:rsidR="00B86B71" w:rsidRPr="0074763F" w:rsidRDefault="00B86B71" w:rsidP="00864B58">
            <w:pPr>
              <w:pStyle w:val="PargrafodaLista"/>
              <w:spacing w:after="0" w:line="280" w:lineRule="atLeast"/>
              <w:ind w:left="255"/>
              <w:contextualSpacing w:val="0"/>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Prevista a instalação de sistemas de produção para autoconsumo a partir de renováveis</w:t>
            </w:r>
          </w:p>
        </w:tc>
        <w:tc>
          <w:tcPr>
            <w:tcW w:w="1224" w:type="dxa"/>
            <w:tcBorders>
              <w:top w:val="single" w:sz="4" w:space="0" w:color="auto"/>
              <w:left w:val="single" w:sz="4" w:space="0" w:color="auto"/>
              <w:bottom w:val="single" w:sz="4" w:space="0" w:color="auto"/>
              <w:right w:val="single" w:sz="4" w:space="0" w:color="auto"/>
            </w:tcBorders>
            <w:vAlign w:val="center"/>
          </w:tcPr>
          <w:p w14:paraId="0A0B30B2" w14:textId="77777777" w:rsidR="00B86B71" w:rsidRPr="0074763F" w:rsidRDefault="001E2947"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20</w:t>
            </w:r>
            <w:r w:rsidR="00B86B71" w:rsidRPr="0074763F">
              <w:rPr>
                <w:rFonts w:ascii="Arial Narrow" w:eastAsia="Times New Roman" w:hAnsi="Arial Narrow" w:cs="Times New Roman"/>
                <w:color w:val="000000"/>
                <w:sz w:val="20"/>
                <w:szCs w:val="20"/>
                <w:lang w:eastAsia="pt-PT"/>
              </w:rPr>
              <w:t>%</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57DCE0" w14:textId="77777777" w:rsidR="00B86B71" w:rsidRPr="0074763F" w:rsidRDefault="00864B58" w:rsidP="0074763F">
            <w:pPr>
              <w:spacing w:after="0" w:line="240" w:lineRule="auto"/>
              <w:jc w:val="center"/>
              <w:rPr>
                <w:rFonts w:ascii="Arial Narrow" w:eastAsia="Times New Roman" w:hAnsi="Arial Narrow" w:cs="Times New Roman"/>
                <w:color w:val="000000"/>
                <w:sz w:val="20"/>
                <w:szCs w:val="20"/>
                <w:lang w:eastAsia="pt-PT"/>
              </w:rPr>
            </w:pPr>
            <w:r>
              <w:rPr>
                <w:rFonts w:ascii="Arial Narrow" w:eastAsia="Times New Roman" w:hAnsi="Arial Narrow" w:cs="Times New Roman"/>
                <w:color w:val="000000"/>
                <w:sz w:val="20"/>
                <w:szCs w:val="20"/>
                <w:lang w:eastAsia="pt-PT"/>
              </w:rPr>
              <w:t xml:space="preserve">5 </w:t>
            </w:r>
            <w:proofErr w:type="gramStart"/>
            <w:r>
              <w:rPr>
                <w:rFonts w:ascii="Arial Narrow" w:eastAsia="Times New Roman" w:hAnsi="Arial Narrow" w:cs="Times New Roman"/>
                <w:color w:val="000000"/>
                <w:sz w:val="20"/>
                <w:szCs w:val="20"/>
                <w:lang w:eastAsia="pt-PT"/>
              </w:rPr>
              <w:t>pontos</w:t>
            </w:r>
            <w:proofErr w:type="gramEnd"/>
            <w:r>
              <w:rPr>
                <w:rFonts w:ascii="Arial Narrow" w:eastAsia="Times New Roman" w:hAnsi="Arial Narrow" w:cs="Times New Roman"/>
                <w:color w:val="000000"/>
                <w:sz w:val="20"/>
                <w:szCs w:val="20"/>
                <w:lang w:eastAsia="pt-PT"/>
              </w:rPr>
              <w:t xml:space="preserve"> se a</w:t>
            </w:r>
            <w:r w:rsidR="00B86B71" w:rsidRPr="0074763F">
              <w:rPr>
                <w:rFonts w:ascii="Arial Narrow" w:eastAsia="Times New Roman" w:hAnsi="Arial Narrow" w:cs="Times New Roman"/>
                <w:color w:val="000000"/>
                <w:sz w:val="20"/>
                <w:szCs w:val="20"/>
                <w:lang w:eastAsia="pt-PT"/>
              </w:rPr>
              <w:t>firmativo</w:t>
            </w:r>
          </w:p>
          <w:p w14:paraId="47C170C4" w14:textId="77777777" w:rsidR="00B86B71" w:rsidRPr="0074763F" w:rsidRDefault="00B86B71" w:rsidP="0074763F">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r w:rsidRPr="0074763F">
              <w:rPr>
                <w:rFonts w:ascii="Arial Narrow" w:eastAsia="Times New Roman" w:hAnsi="Arial Narrow" w:cs="Times New Roman"/>
                <w:color w:val="000000"/>
                <w:sz w:val="20"/>
                <w:szCs w:val="20"/>
                <w:lang w:eastAsia="pt-PT"/>
              </w:rPr>
              <w:t xml:space="preserve"> outra situação</w:t>
            </w:r>
          </w:p>
          <w:p w14:paraId="630FDE8D" w14:textId="77777777" w:rsidR="00B86B71" w:rsidRPr="0074763F" w:rsidRDefault="00B86B71" w:rsidP="0074763F">
            <w:pPr>
              <w:spacing w:after="0" w:line="240" w:lineRule="auto"/>
              <w:jc w:val="center"/>
              <w:rPr>
                <w:rFonts w:ascii="Arial Narrow" w:eastAsia="Times New Roman" w:hAnsi="Arial Narrow" w:cs="Times New Roman"/>
                <w:color w:val="000000"/>
                <w:sz w:val="20"/>
                <w:szCs w:val="20"/>
                <w:lang w:eastAsia="pt-PT"/>
              </w:rPr>
            </w:pPr>
          </w:p>
        </w:tc>
      </w:tr>
    </w:tbl>
    <w:p w14:paraId="2412BCD2" w14:textId="77777777" w:rsidR="005D73CC" w:rsidRPr="0074763F" w:rsidRDefault="005D73CC" w:rsidP="005D73CC">
      <w:pPr>
        <w:spacing w:after="120" w:line="360" w:lineRule="auto"/>
        <w:ind w:left="360"/>
        <w:jc w:val="both"/>
        <w:rPr>
          <w:rFonts w:ascii="Arial Narrow" w:eastAsia="Times New Roman" w:hAnsi="Arial Narrow" w:cs="Times New Roman"/>
          <w:color w:val="000000"/>
          <w:sz w:val="20"/>
          <w:szCs w:val="20"/>
          <w:lang w:eastAsia="pt-PT"/>
        </w:rPr>
      </w:pPr>
    </w:p>
    <w:p w14:paraId="7DE28480" w14:textId="77777777" w:rsidR="00A8541F" w:rsidRPr="00864B58" w:rsidRDefault="00A8541F" w:rsidP="00864B58">
      <w:pPr>
        <w:spacing w:before="120" w:after="240" w:line="320" w:lineRule="atLeast"/>
        <w:jc w:val="both"/>
        <w:rPr>
          <w:rFonts w:ascii="Arial Narrow" w:hAnsi="Arial Narrow"/>
          <w:b/>
          <w:sz w:val="16"/>
          <w:szCs w:val="16"/>
        </w:rPr>
      </w:pPr>
      <w:r w:rsidRPr="00864B58">
        <w:rPr>
          <w:rFonts w:ascii="Arial Narrow" w:hAnsi="Arial Narrow"/>
          <w:b/>
          <w:sz w:val="16"/>
          <w:szCs w:val="16"/>
        </w:rPr>
        <w:t>Tipologia de investimento 2:</w:t>
      </w:r>
    </w:p>
    <w:p w14:paraId="760215E3" w14:textId="77777777" w:rsidR="00B86B71" w:rsidRPr="0074763F" w:rsidRDefault="00E835D1" w:rsidP="006F72B8">
      <w:pPr>
        <w:pStyle w:val="PargrafodaLista"/>
        <w:numPr>
          <w:ilvl w:val="0"/>
          <w:numId w:val="23"/>
        </w:numPr>
        <w:pBdr>
          <w:top w:val="single" w:sz="4" w:space="1" w:color="auto"/>
          <w:left w:val="single" w:sz="4" w:space="4" w:color="auto"/>
          <w:bottom w:val="single" w:sz="4" w:space="1" w:color="auto"/>
          <w:right w:val="single" w:sz="4" w:space="4" w:color="auto"/>
        </w:pBdr>
        <w:spacing w:before="100" w:after="0" w:line="320" w:lineRule="atLeast"/>
        <w:ind w:left="714" w:hanging="357"/>
        <w:contextualSpacing w:val="0"/>
        <w:jc w:val="both"/>
        <w:rPr>
          <w:rFonts w:ascii="Arial Narrow" w:hAnsi="Arial Narrow"/>
          <w:i/>
          <w:sz w:val="20"/>
          <w:szCs w:val="20"/>
        </w:rPr>
      </w:pPr>
      <w:r w:rsidRPr="0074763F">
        <w:rPr>
          <w:rFonts w:ascii="Arial Narrow" w:hAnsi="Arial Narrow"/>
          <w:i/>
          <w:sz w:val="20"/>
          <w:szCs w:val="20"/>
        </w:rPr>
        <w:t>Intervenções integradas de promoção de eficiência energética nos sistemas de iluminação pública, sistemas semafóricos e de iluminação decorativa</w:t>
      </w:r>
    </w:p>
    <w:p w14:paraId="490E9B2D" w14:textId="77777777" w:rsidR="00B86B71" w:rsidRPr="0074763F" w:rsidRDefault="00B86B71" w:rsidP="005D73CC">
      <w:pPr>
        <w:spacing w:after="120" w:line="360" w:lineRule="auto"/>
        <w:ind w:left="360"/>
        <w:jc w:val="both"/>
        <w:rPr>
          <w:rFonts w:ascii="Arial Narrow" w:eastAsia="Times New Roman" w:hAnsi="Arial Narrow" w:cs="Times New Roman"/>
          <w:color w:val="000000"/>
          <w:sz w:val="20"/>
          <w:szCs w:val="20"/>
          <w:lang w:eastAsia="pt-PT"/>
        </w:rPr>
      </w:pPr>
    </w:p>
    <w:p w14:paraId="5063F4F9" w14:textId="77777777" w:rsidR="001E2947" w:rsidRPr="0074763F" w:rsidRDefault="001E2947">
      <w:pPr>
        <w:rPr>
          <w:rFonts w:ascii="Arial Narrow" w:hAnsi="Arial Narrow"/>
          <w:sz w:val="20"/>
          <w:szCs w:val="20"/>
        </w:rPr>
      </w:pPr>
    </w:p>
    <w:p w14:paraId="25B9D651" w14:textId="77777777" w:rsidR="00E835D1" w:rsidRPr="00864B58" w:rsidRDefault="00E835D1" w:rsidP="00E835D1">
      <w:pPr>
        <w:spacing w:before="100" w:after="0" w:line="320" w:lineRule="atLeast"/>
        <w:jc w:val="both"/>
        <w:rPr>
          <w:rFonts w:ascii="Arial Narrow" w:hAnsi="Arial Narrow"/>
          <w:sz w:val="24"/>
          <w:szCs w:val="24"/>
          <w:u w:val="single"/>
        </w:rPr>
      </w:pPr>
      <w:r w:rsidRPr="00864B58">
        <w:rPr>
          <w:rFonts w:ascii="Arial Narrow" w:hAnsi="Arial Narrow"/>
          <w:sz w:val="24"/>
          <w:szCs w:val="24"/>
          <w:u w:val="single"/>
        </w:rPr>
        <w:t>Critérios de seleção:</w:t>
      </w:r>
    </w:p>
    <w:p w14:paraId="655F9D71" w14:textId="77777777" w:rsidR="00A8541F" w:rsidRPr="0074763F" w:rsidRDefault="00A8541F" w:rsidP="00E835D1">
      <w:pPr>
        <w:spacing w:before="100" w:after="0" w:line="320" w:lineRule="atLeast"/>
        <w:jc w:val="both"/>
        <w:rPr>
          <w:rFonts w:ascii="Arial Narrow" w:hAnsi="Arial Narrow"/>
          <w:sz w:val="20"/>
          <w:szCs w:val="20"/>
        </w:rPr>
      </w:pPr>
    </w:p>
    <w:p w14:paraId="2027E4D9" w14:textId="77777777" w:rsidR="00E835D1" w:rsidRPr="0074763F" w:rsidRDefault="00E835D1" w:rsidP="00E835D1">
      <w:pPr>
        <w:spacing w:after="0"/>
        <w:jc w:val="both"/>
        <w:rPr>
          <w:rFonts w:ascii="Arial Narrow" w:hAnsi="Arial Narrow"/>
          <w:sz w:val="20"/>
          <w:szCs w:val="20"/>
        </w:rPr>
      </w:pPr>
    </w:p>
    <w:p w14:paraId="358328C8" w14:textId="77777777" w:rsidR="00E835D1" w:rsidRPr="0074763F" w:rsidRDefault="00E835D1" w:rsidP="00E835D1">
      <w:pPr>
        <w:pStyle w:val="PargrafodaLista"/>
        <w:numPr>
          <w:ilvl w:val="0"/>
          <w:numId w:val="24"/>
        </w:numPr>
        <w:spacing w:after="0"/>
        <w:jc w:val="both"/>
        <w:rPr>
          <w:rFonts w:ascii="Arial Narrow" w:hAnsi="Arial Narrow"/>
          <w:sz w:val="20"/>
          <w:szCs w:val="20"/>
        </w:rPr>
      </w:pPr>
      <w:r w:rsidRPr="0074763F">
        <w:rPr>
          <w:rFonts w:ascii="Arial Narrow" w:hAnsi="Arial Narrow"/>
          <w:b/>
          <w:bCs/>
          <w:sz w:val="20"/>
          <w:szCs w:val="20"/>
        </w:rPr>
        <w:t>Eficácia - Contributo para resultados esperados (40%)</w:t>
      </w:r>
      <w:r w:rsidRPr="0074763F">
        <w:rPr>
          <w:rFonts w:ascii="Arial Narrow" w:hAnsi="Arial Narrow"/>
          <w:sz w:val="20"/>
          <w:szCs w:val="20"/>
        </w:rPr>
        <w:t>;</w:t>
      </w:r>
    </w:p>
    <w:p w14:paraId="03C0533B" w14:textId="77777777" w:rsidR="00E835D1" w:rsidRPr="0074763F" w:rsidRDefault="00E835D1" w:rsidP="00E835D1">
      <w:pPr>
        <w:spacing w:after="0" w:line="360" w:lineRule="auto"/>
        <w:jc w:val="both"/>
        <w:rPr>
          <w:rFonts w:ascii="Arial Narrow" w:hAnsi="Arial Narrow" w:cs="Arial"/>
          <w:sz w:val="20"/>
          <w:szCs w:val="20"/>
        </w:rPr>
      </w:pPr>
    </w:p>
    <w:p w14:paraId="0445B85B" w14:textId="77777777" w:rsidR="00E835D1" w:rsidRPr="0074763F" w:rsidRDefault="00E835D1" w:rsidP="00E835D1">
      <w:pPr>
        <w:spacing w:after="0" w:line="360" w:lineRule="auto"/>
        <w:jc w:val="both"/>
        <w:rPr>
          <w:rFonts w:ascii="Arial Narrow" w:hAnsi="Arial Narrow" w:cs="Arial"/>
          <w:sz w:val="20"/>
          <w:szCs w:val="20"/>
        </w:rPr>
      </w:pPr>
      <w:r w:rsidRPr="0074763F">
        <w:rPr>
          <w:rFonts w:ascii="Arial Narrow" w:hAnsi="Arial Narrow" w:cs="Arial"/>
          <w:sz w:val="20"/>
          <w:szCs w:val="20"/>
        </w:rPr>
        <w:t xml:space="preserve">A avaliação da operação foca-se no nível de contribuição da operação para as metas dos indicadores constantes do programa, sejam os de resultado, sejam os de realização, devidamente </w:t>
      </w:r>
      <w:proofErr w:type="spellStart"/>
      <w:r w:rsidRPr="0074763F">
        <w:rPr>
          <w:rFonts w:ascii="Arial Narrow" w:hAnsi="Arial Narrow" w:cs="Arial"/>
          <w:sz w:val="20"/>
          <w:szCs w:val="20"/>
        </w:rPr>
        <w:t>territorializados</w:t>
      </w:r>
      <w:proofErr w:type="spellEnd"/>
      <w:r w:rsidRPr="0074763F">
        <w:rPr>
          <w:rFonts w:ascii="Arial Narrow" w:hAnsi="Arial Narrow" w:cs="Arial"/>
          <w:sz w:val="20"/>
          <w:szCs w:val="20"/>
        </w:rPr>
        <w:t xml:space="preserve"> a nível de ilha onde serão implementadas as operações, utilizando a seguinte tabela:</w:t>
      </w:r>
    </w:p>
    <w:p w14:paraId="01BE3E33" w14:textId="77777777" w:rsidR="00751F17" w:rsidRPr="0074763F" w:rsidRDefault="00751F17" w:rsidP="00751F17">
      <w:pPr>
        <w:spacing w:after="0" w:line="360" w:lineRule="auto"/>
        <w:jc w:val="both"/>
        <w:rPr>
          <w:rFonts w:ascii="Arial Narrow" w:hAnsi="Arial Narrow" w:cs="Arial"/>
          <w:sz w:val="20"/>
          <w:szCs w:val="20"/>
        </w:rPr>
      </w:pPr>
    </w:p>
    <w:tbl>
      <w:tblPr>
        <w:tblW w:w="9654" w:type="dxa"/>
        <w:tblInd w:w="55" w:type="dxa"/>
        <w:tblCellMar>
          <w:left w:w="70" w:type="dxa"/>
          <w:right w:w="70" w:type="dxa"/>
        </w:tblCellMar>
        <w:tblLook w:val="04A0" w:firstRow="1" w:lastRow="0" w:firstColumn="1" w:lastColumn="0" w:noHBand="0" w:noVBand="1"/>
      </w:tblPr>
      <w:tblGrid>
        <w:gridCol w:w="4977"/>
        <w:gridCol w:w="1082"/>
        <w:gridCol w:w="1044"/>
        <w:gridCol w:w="1276"/>
        <w:gridCol w:w="1275"/>
      </w:tblGrid>
      <w:tr w:rsidR="00864B58" w:rsidRPr="0074763F" w14:paraId="6BB697D5" w14:textId="77777777" w:rsidTr="004F2575">
        <w:trPr>
          <w:trHeight w:val="397"/>
        </w:trPr>
        <w:tc>
          <w:tcPr>
            <w:tcW w:w="4977" w:type="dxa"/>
            <w:vMerge w:val="restart"/>
            <w:tcBorders>
              <w:top w:val="single" w:sz="4" w:space="0" w:color="auto"/>
              <w:left w:val="single" w:sz="4" w:space="0" w:color="auto"/>
              <w:bottom w:val="single" w:sz="4" w:space="0" w:color="auto"/>
              <w:right w:val="single" w:sz="4" w:space="0" w:color="auto"/>
            </w:tcBorders>
            <w:vAlign w:val="center"/>
          </w:tcPr>
          <w:p w14:paraId="7A64D469"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Subcritério</w:t>
            </w:r>
          </w:p>
        </w:tc>
        <w:tc>
          <w:tcPr>
            <w:tcW w:w="1082" w:type="dxa"/>
            <w:vMerge w:val="restart"/>
            <w:tcBorders>
              <w:top w:val="single" w:sz="4" w:space="0" w:color="auto"/>
              <w:left w:val="single" w:sz="4" w:space="0" w:color="auto"/>
              <w:right w:val="single" w:sz="4" w:space="0" w:color="auto"/>
            </w:tcBorders>
            <w:vAlign w:val="center"/>
          </w:tcPr>
          <w:p w14:paraId="0935AE98"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Ponderador</w:t>
            </w:r>
          </w:p>
        </w:tc>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77BDBB"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Pontuação</w:t>
            </w:r>
          </w:p>
        </w:tc>
      </w:tr>
      <w:tr w:rsidR="00864B58" w:rsidRPr="0074763F" w14:paraId="0090FA00" w14:textId="77777777" w:rsidTr="004F2575">
        <w:trPr>
          <w:trHeight w:val="510"/>
        </w:trPr>
        <w:tc>
          <w:tcPr>
            <w:tcW w:w="4977" w:type="dxa"/>
            <w:vMerge/>
            <w:tcBorders>
              <w:top w:val="single" w:sz="4" w:space="0" w:color="auto"/>
              <w:left w:val="single" w:sz="4" w:space="0" w:color="auto"/>
              <w:bottom w:val="single" w:sz="4" w:space="0" w:color="auto"/>
              <w:right w:val="single" w:sz="4" w:space="0" w:color="auto"/>
            </w:tcBorders>
            <w:vAlign w:val="center"/>
          </w:tcPr>
          <w:p w14:paraId="56EBAB9B"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p>
        </w:tc>
        <w:tc>
          <w:tcPr>
            <w:tcW w:w="1082" w:type="dxa"/>
            <w:vMerge/>
            <w:tcBorders>
              <w:left w:val="single" w:sz="4" w:space="0" w:color="auto"/>
              <w:bottom w:val="single" w:sz="4" w:space="0" w:color="auto"/>
              <w:right w:val="single" w:sz="4" w:space="0" w:color="auto"/>
            </w:tcBorders>
            <w:vAlign w:val="center"/>
          </w:tcPr>
          <w:p w14:paraId="2A23426F"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7019"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Inferior a 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B12568"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Entre 5 a 10%</w:t>
            </w:r>
          </w:p>
        </w:tc>
        <w:tc>
          <w:tcPr>
            <w:tcW w:w="1275" w:type="dxa"/>
            <w:tcBorders>
              <w:top w:val="single" w:sz="4" w:space="0" w:color="auto"/>
              <w:left w:val="nil"/>
              <w:bottom w:val="single" w:sz="4" w:space="0" w:color="auto"/>
              <w:right w:val="single" w:sz="4" w:space="0" w:color="auto"/>
            </w:tcBorders>
            <w:vAlign w:val="center"/>
          </w:tcPr>
          <w:p w14:paraId="39F4D4B5" w14:textId="77777777" w:rsidR="00864B58" w:rsidRPr="00864B58" w:rsidRDefault="00864B58" w:rsidP="00864B58">
            <w:pPr>
              <w:spacing w:after="0" w:line="240" w:lineRule="auto"/>
              <w:jc w:val="center"/>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Superior a 10%</w:t>
            </w:r>
          </w:p>
        </w:tc>
      </w:tr>
      <w:tr w:rsidR="00751F17" w:rsidRPr="0074763F" w14:paraId="2B4A0DE5" w14:textId="77777777" w:rsidTr="004F2575">
        <w:trPr>
          <w:trHeight w:val="1077"/>
        </w:trPr>
        <w:tc>
          <w:tcPr>
            <w:tcW w:w="4977" w:type="dxa"/>
            <w:tcBorders>
              <w:top w:val="single" w:sz="4" w:space="0" w:color="auto"/>
              <w:left w:val="single" w:sz="4" w:space="0" w:color="auto"/>
              <w:bottom w:val="single" w:sz="4" w:space="0" w:color="auto"/>
              <w:right w:val="single" w:sz="4" w:space="0" w:color="auto"/>
            </w:tcBorders>
          </w:tcPr>
          <w:p w14:paraId="54D38819" w14:textId="77777777" w:rsidR="00751F17" w:rsidRPr="00864B58" w:rsidRDefault="00751F17" w:rsidP="004F2575">
            <w:pPr>
              <w:spacing w:before="80" w:after="0" w:line="240" w:lineRule="auto"/>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Contribuição para Resultado</w:t>
            </w:r>
          </w:p>
          <w:p w14:paraId="52190677" w14:textId="77777777" w:rsidR="00751F17" w:rsidRPr="004F2575" w:rsidRDefault="00751F17" w:rsidP="004F2575">
            <w:pPr>
              <w:pStyle w:val="PargrafodaLista"/>
              <w:numPr>
                <w:ilvl w:val="0"/>
                <w:numId w:val="22"/>
              </w:numPr>
              <w:spacing w:after="0" w:line="280" w:lineRule="atLeast"/>
              <w:ind w:left="306" w:hanging="215"/>
              <w:rPr>
                <w:rFonts w:ascii="Arial Narrow" w:eastAsia="Times New Roman" w:hAnsi="Arial Narrow" w:cs="Times New Roman"/>
                <w:b/>
                <w:bCs/>
                <w:color w:val="000000"/>
                <w:sz w:val="20"/>
                <w:szCs w:val="20"/>
                <w:lang w:eastAsia="pt-PT"/>
              </w:rPr>
            </w:pPr>
            <w:r w:rsidRPr="0074763F">
              <w:rPr>
                <w:rFonts w:ascii="Arial Narrow" w:hAnsi="Arial Narrow"/>
                <w:sz w:val="20"/>
                <w:szCs w:val="20"/>
              </w:rPr>
              <w:t>Consumo de energia primária na administração regional e local</w:t>
            </w:r>
            <w:r w:rsidRPr="0074763F">
              <w:rPr>
                <w:rFonts w:ascii="Arial Narrow" w:eastAsia="Times New Roman" w:hAnsi="Arial Narrow" w:cs="Times New Roman"/>
                <w:b/>
                <w:bCs/>
                <w:color w:val="000000"/>
                <w:sz w:val="20"/>
                <w:szCs w:val="20"/>
                <w:lang w:eastAsia="pt-PT"/>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14:paraId="2519F14D" w14:textId="77777777" w:rsidR="00751F17" w:rsidRPr="0074763F" w:rsidRDefault="00751F17" w:rsidP="004F2575">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50%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EA4A" w14:textId="77777777" w:rsidR="00751F17" w:rsidRPr="0074763F" w:rsidRDefault="00751F17" w:rsidP="004F2575">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1 </w:t>
            </w:r>
            <w:proofErr w:type="gramStart"/>
            <w:r w:rsidRPr="0074763F">
              <w:rPr>
                <w:rFonts w:ascii="Arial Narrow" w:eastAsia="Times New Roman" w:hAnsi="Arial Narrow" w:cs="Times New Roman"/>
                <w:color w:val="000000"/>
                <w:sz w:val="20"/>
                <w:szCs w:val="20"/>
                <w:lang w:eastAsia="pt-PT"/>
              </w:rPr>
              <w:t>ponto</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187D" w14:textId="77777777" w:rsidR="00751F17" w:rsidRPr="0074763F" w:rsidRDefault="00751F17" w:rsidP="004F2575">
            <w:pPr>
              <w:spacing w:after="0" w:line="240" w:lineRule="auto"/>
              <w:jc w:val="center"/>
              <w:rPr>
                <w:rFonts w:ascii="Arial Narrow" w:eastAsia="Times New Roman" w:hAnsi="Arial Narrow" w:cs="Times New Roman"/>
                <w:b/>
                <w:bCs/>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4CB733C6" w14:textId="77777777" w:rsidR="00751F17" w:rsidRPr="0074763F" w:rsidRDefault="004F2575" w:rsidP="004F2575">
            <w:pPr>
              <w:spacing w:after="0" w:line="240" w:lineRule="auto"/>
              <w:jc w:val="center"/>
              <w:rPr>
                <w:rFonts w:ascii="Arial Narrow" w:eastAsia="Times New Roman" w:hAnsi="Arial Narrow" w:cs="Times New Roman"/>
                <w:color w:val="000000"/>
                <w:sz w:val="20"/>
                <w:szCs w:val="20"/>
                <w:lang w:eastAsia="pt-PT"/>
              </w:rPr>
            </w:pPr>
            <w:r>
              <w:rPr>
                <w:rFonts w:ascii="Arial Narrow" w:eastAsia="Times New Roman" w:hAnsi="Arial Narrow" w:cs="Times New Roman"/>
                <w:color w:val="000000"/>
                <w:sz w:val="20"/>
                <w:szCs w:val="20"/>
                <w:lang w:eastAsia="pt-PT"/>
              </w:rPr>
              <w:t xml:space="preserve">5 </w:t>
            </w:r>
            <w:proofErr w:type="gramStart"/>
            <w:r>
              <w:rPr>
                <w:rFonts w:ascii="Arial Narrow" w:eastAsia="Times New Roman" w:hAnsi="Arial Narrow" w:cs="Times New Roman"/>
                <w:color w:val="000000"/>
                <w:sz w:val="20"/>
                <w:szCs w:val="20"/>
                <w:lang w:eastAsia="pt-PT"/>
              </w:rPr>
              <w:t>pontos</w:t>
            </w:r>
            <w:proofErr w:type="gramEnd"/>
          </w:p>
        </w:tc>
      </w:tr>
      <w:tr w:rsidR="00751F17" w:rsidRPr="0074763F" w14:paraId="72EBFA31" w14:textId="77777777" w:rsidTr="004F2575">
        <w:trPr>
          <w:trHeight w:val="794"/>
        </w:trPr>
        <w:tc>
          <w:tcPr>
            <w:tcW w:w="4977" w:type="dxa"/>
            <w:tcBorders>
              <w:top w:val="single" w:sz="4" w:space="0" w:color="auto"/>
              <w:left w:val="single" w:sz="4" w:space="0" w:color="auto"/>
              <w:bottom w:val="single" w:sz="4" w:space="0" w:color="auto"/>
              <w:right w:val="single" w:sz="4" w:space="0" w:color="auto"/>
            </w:tcBorders>
          </w:tcPr>
          <w:p w14:paraId="5303D14C" w14:textId="77777777" w:rsidR="00751F17" w:rsidRPr="00864B58" w:rsidRDefault="00751F17" w:rsidP="004F2575">
            <w:pPr>
              <w:spacing w:before="80" w:after="0" w:line="240" w:lineRule="auto"/>
              <w:rPr>
                <w:rFonts w:ascii="Arial Narrow" w:eastAsia="Times New Roman" w:hAnsi="Arial Narrow" w:cs="Times New Roman"/>
                <w:b/>
                <w:bCs/>
                <w:color w:val="000000"/>
                <w:sz w:val="18"/>
                <w:szCs w:val="18"/>
                <w:lang w:eastAsia="pt-PT"/>
              </w:rPr>
            </w:pPr>
            <w:r w:rsidRPr="00864B58">
              <w:rPr>
                <w:rFonts w:ascii="Arial Narrow" w:eastAsia="Times New Roman" w:hAnsi="Arial Narrow" w:cs="Times New Roman"/>
                <w:b/>
                <w:bCs/>
                <w:color w:val="000000"/>
                <w:sz w:val="18"/>
                <w:szCs w:val="18"/>
                <w:lang w:eastAsia="pt-PT"/>
              </w:rPr>
              <w:t>Contribuição para Realização</w:t>
            </w:r>
          </w:p>
          <w:p w14:paraId="548138E9" w14:textId="77777777" w:rsidR="00751F17" w:rsidRPr="004F2575" w:rsidRDefault="00751F17" w:rsidP="004F2575">
            <w:pPr>
              <w:pStyle w:val="PargrafodaLista"/>
              <w:numPr>
                <w:ilvl w:val="0"/>
                <w:numId w:val="22"/>
              </w:numPr>
              <w:spacing w:after="0" w:line="280" w:lineRule="atLeast"/>
              <w:ind w:left="306" w:hanging="215"/>
              <w:rPr>
                <w:rFonts w:ascii="Arial Narrow" w:eastAsia="Times New Roman" w:hAnsi="Arial Narrow" w:cs="Times New Roman"/>
                <w:bCs/>
                <w:color w:val="000000"/>
                <w:sz w:val="20"/>
                <w:szCs w:val="20"/>
                <w:lang w:eastAsia="pt-PT"/>
              </w:rPr>
            </w:pPr>
            <w:r w:rsidRPr="0074763F">
              <w:rPr>
                <w:rFonts w:ascii="Arial Narrow" w:hAnsi="Arial Narrow"/>
                <w:sz w:val="20"/>
                <w:szCs w:val="20"/>
              </w:rPr>
              <w:t>Redução das emissões de gases com efeito de estufa</w:t>
            </w:r>
            <w:r w:rsidRPr="0074763F">
              <w:rPr>
                <w:rFonts w:ascii="Arial Narrow" w:eastAsia="Times New Roman" w:hAnsi="Arial Narrow" w:cs="Times New Roman"/>
                <w:b/>
                <w:bCs/>
                <w:color w:val="000000"/>
                <w:sz w:val="20"/>
                <w:szCs w:val="20"/>
                <w:lang w:eastAsia="pt-PT"/>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14:paraId="7C71167C" w14:textId="77777777" w:rsidR="00751F17" w:rsidRPr="0074763F" w:rsidRDefault="00751F17" w:rsidP="004F2575">
            <w:pPr>
              <w:spacing w:before="120"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50%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9D11" w14:textId="77777777" w:rsidR="00751F17" w:rsidRPr="0074763F" w:rsidRDefault="00751F17" w:rsidP="004F2575">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1 </w:t>
            </w:r>
            <w:proofErr w:type="gramStart"/>
            <w:r w:rsidRPr="0074763F">
              <w:rPr>
                <w:rFonts w:ascii="Arial Narrow" w:eastAsia="Times New Roman" w:hAnsi="Arial Narrow" w:cs="Times New Roman"/>
                <w:color w:val="000000"/>
                <w:sz w:val="20"/>
                <w:szCs w:val="20"/>
                <w:lang w:eastAsia="pt-PT"/>
              </w:rPr>
              <w:t>ponto</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5F21" w14:textId="77777777" w:rsidR="00751F17" w:rsidRPr="0074763F" w:rsidRDefault="00751F17" w:rsidP="004F2575">
            <w:pPr>
              <w:spacing w:after="0" w:line="240" w:lineRule="auto"/>
              <w:jc w:val="center"/>
              <w:rPr>
                <w:rFonts w:ascii="Arial Narrow" w:eastAsia="Times New Roman" w:hAnsi="Arial Narrow" w:cs="Times New Roman"/>
                <w:b/>
                <w:bCs/>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6504598A" w14:textId="77777777" w:rsidR="00751F17" w:rsidRPr="0074763F" w:rsidRDefault="00751F17" w:rsidP="004F2575">
            <w:pPr>
              <w:spacing w:before="120"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5 </w:t>
            </w:r>
            <w:proofErr w:type="gramStart"/>
            <w:r w:rsidRPr="0074763F">
              <w:rPr>
                <w:rFonts w:ascii="Arial Narrow" w:eastAsia="Times New Roman" w:hAnsi="Arial Narrow" w:cs="Times New Roman"/>
                <w:color w:val="000000"/>
                <w:sz w:val="20"/>
                <w:szCs w:val="20"/>
                <w:lang w:eastAsia="pt-PT"/>
              </w:rPr>
              <w:t>pontos</w:t>
            </w:r>
            <w:proofErr w:type="gramEnd"/>
          </w:p>
        </w:tc>
      </w:tr>
    </w:tbl>
    <w:p w14:paraId="61EA1BB1" w14:textId="77777777" w:rsidR="00751F17" w:rsidRPr="0074763F" w:rsidRDefault="00751F17" w:rsidP="00751F17">
      <w:pPr>
        <w:spacing w:after="0" w:line="360" w:lineRule="auto"/>
        <w:jc w:val="both"/>
        <w:rPr>
          <w:rFonts w:ascii="Arial Narrow" w:hAnsi="Arial Narrow" w:cs="Arial"/>
          <w:sz w:val="20"/>
          <w:szCs w:val="20"/>
        </w:rPr>
      </w:pPr>
    </w:p>
    <w:p w14:paraId="6D3532BC" w14:textId="77777777" w:rsidR="00E835D1" w:rsidRPr="0074763F" w:rsidRDefault="00E835D1" w:rsidP="00883639">
      <w:pPr>
        <w:pStyle w:val="PargrafodaLista"/>
        <w:numPr>
          <w:ilvl w:val="0"/>
          <w:numId w:val="24"/>
        </w:numPr>
        <w:spacing w:after="0"/>
        <w:jc w:val="both"/>
        <w:rPr>
          <w:rFonts w:ascii="Arial Narrow" w:hAnsi="Arial Narrow"/>
          <w:bCs/>
          <w:sz w:val="20"/>
          <w:szCs w:val="20"/>
        </w:rPr>
      </w:pPr>
      <w:r w:rsidRPr="0074763F">
        <w:rPr>
          <w:rFonts w:ascii="Arial Narrow" w:hAnsi="Arial Narrow"/>
          <w:b/>
          <w:bCs/>
          <w:sz w:val="20"/>
          <w:szCs w:val="20"/>
        </w:rPr>
        <w:t>Eficiência</w:t>
      </w:r>
      <w:r w:rsidRPr="0074763F">
        <w:rPr>
          <w:rFonts w:ascii="Arial Narrow" w:hAnsi="Arial Narrow" w:cs="Arial"/>
          <w:b/>
          <w:sz w:val="20"/>
          <w:szCs w:val="20"/>
        </w:rPr>
        <w:t xml:space="preserve">, Desempenho e Sustentabilidade </w:t>
      </w:r>
      <w:r w:rsidR="00A8541F" w:rsidRPr="0074763F">
        <w:rPr>
          <w:rFonts w:ascii="Arial Narrow" w:hAnsi="Arial Narrow"/>
          <w:bCs/>
          <w:sz w:val="20"/>
          <w:szCs w:val="20"/>
        </w:rPr>
        <w:t>(6</w:t>
      </w:r>
      <w:r w:rsidRPr="0074763F">
        <w:rPr>
          <w:rFonts w:ascii="Arial Narrow" w:hAnsi="Arial Narrow"/>
          <w:bCs/>
          <w:sz w:val="20"/>
          <w:szCs w:val="20"/>
        </w:rPr>
        <w:t>0%)</w:t>
      </w:r>
    </w:p>
    <w:p w14:paraId="2CE8438B" w14:textId="77777777" w:rsidR="00B95B33" w:rsidRPr="0074763F" w:rsidRDefault="00B95B33" w:rsidP="00022E5C">
      <w:pPr>
        <w:spacing w:after="0" w:line="320" w:lineRule="atLeast"/>
        <w:jc w:val="both"/>
        <w:rPr>
          <w:rFonts w:ascii="Arial Narrow" w:eastAsia="Times New Roman" w:hAnsi="Arial Narrow" w:cs="Times New Roman"/>
          <w:color w:val="000000"/>
          <w:sz w:val="20"/>
          <w:szCs w:val="20"/>
          <w:lang w:eastAsia="pt-PT"/>
        </w:rPr>
      </w:pPr>
    </w:p>
    <w:p w14:paraId="6573FF0A" w14:textId="77777777" w:rsidR="00E835D1" w:rsidRPr="0074763F" w:rsidRDefault="00E835D1" w:rsidP="004F2575">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Serão avaliados mais </w:t>
      </w:r>
      <w:r w:rsidR="00751F17" w:rsidRPr="0074763F">
        <w:rPr>
          <w:rFonts w:ascii="Arial Narrow" w:eastAsia="Times New Roman" w:hAnsi="Arial Narrow" w:cs="Times New Roman"/>
          <w:color w:val="000000"/>
          <w:sz w:val="20"/>
          <w:szCs w:val="20"/>
          <w:lang w:eastAsia="pt-PT"/>
        </w:rPr>
        <w:t>3</w:t>
      </w:r>
      <w:r w:rsidRPr="0074763F">
        <w:rPr>
          <w:rFonts w:ascii="Arial Narrow" w:eastAsia="Times New Roman" w:hAnsi="Arial Narrow" w:cs="Times New Roman"/>
          <w:color w:val="000000"/>
          <w:sz w:val="20"/>
          <w:szCs w:val="20"/>
          <w:lang w:eastAsia="pt-PT"/>
        </w:rPr>
        <w:t xml:space="preserve"> vertentes da operação candidata: </w:t>
      </w:r>
    </w:p>
    <w:p w14:paraId="2E0C10C7" w14:textId="77777777" w:rsidR="00E835D1" w:rsidRPr="0074763F" w:rsidRDefault="00E835D1" w:rsidP="004F2575">
      <w:pPr>
        <w:pStyle w:val="PargrafodaLista"/>
        <w:numPr>
          <w:ilvl w:val="0"/>
          <w:numId w:val="21"/>
        </w:numPr>
        <w:spacing w:before="120" w:after="0" w:line="320" w:lineRule="atLeast"/>
        <w:contextualSpacing w:val="0"/>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Racionalidade económica; </w:t>
      </w:r>
    </w:p>
    <w:p w14:paraId="1FEC7C95" w14:textId="5E4872B6" w:rsidR="00E835D1" w:rsidRPr="0074763F" w:rsidRDefault="006847AF" w:rsidP="004F2575">
      <w:pPr>
        <w:pStyle w:val="PargrafodaLista"/>
        <w:numPr>
          <w:ilvl w:val="0"/>
          <w:numId w:val="21"/>
        </w:numPr>
        <w:spacing w:before="120" w:after="0" w:line="320" w:lineRule="atLeast"/>
        <w:contextualSpacing w:val="0"/>
        <w:jc w:val="both"/>
        <w:rPr>
          <w:rFonts w:ascii="Arial Narrow" w:eastAsia="Times New Roman" w:hAnsi="Arial Narrow" w:cs="Times New Roman"/>
          <w:color w:val="000000"/>
          <w:sz w:val="20"/>
          <w:szCs w:val="20"/>
          <w:lang w:eastAsia="pt-PT"/>
        </w:rPr>
      </w:pPr>
      <w:r>
        <w:rPr>
          <w:rFonts w:ascii="Arial Narrow" w:eastAsia="Times New Roman" w:hAnsi="Arial Narrow" w:cs="Times New Roman"/>
          <w:color w:val="000000"/>
          <w:sz w:val="20"/>
          <w:szCs w:val="20"/>
          <w:lang w:eastAsia="pt-PT"/>
        </w:rPr>
        <w:t xml:space="preserve">Sistemas de </w:t>
      </w:r>
      <w:r w:rsidR="00E835D1" w:rsidRPr="0074763F">
        <w:rPr>
          <w:rFonts w:ascii="Arial Narrow" w:eastAsia="Times New Roman" w:hAnsi="Arial Narrow" w:cs="Times New Roman"/>
          <w:color w:val="000000"/>
          <w:sz w:val="20"/>
          <w:szCs w:val="20"/>
          <w:lang w:eastAsia="pt-PT"/>
        </w:rPr>
        <w:t>produção para autoconsumo</w:t>
      </w:r>
      <w:r w:rsidR="00751F17" w:rsidRPr="0074763F">
        <w:rPr>
          <w:rFonts w:ascii="Arial Narrow" w:eastAsia="Times New Roman" w:hAnsi="Arial Narrow" w:cs="Times New Roman"/>
          <w:color w:val="000000"/>
          <w:sz w:val="20"/>
          <w:szCs w:val="20"/>
          <w:lang w:eastAsia="pt-PT"/>
        </w:rPr>
        <w:t>.</w:t>
      </w:r>
    </w:p>
    <w:p w14:paraId="4E74353F" w14:textId="77777777" w:rsidR="00E835D1" w:rsidRPr="0074763F" w:rsidRDefault="001E2947" w:rsidP="004F2575">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No primeiro</w:t>
      </w:r>
      <w:r w:rsidR="00E835D1" w:rsidRPr="0074763F">
        <w:rPr>
          <w:rFonts w:ascii="Arial Narrow" w:eastAsia="Times New Roman" w:hAnsi="Arial Narrow" w:cs="Times New Roman"/>
          <w:color w:val="000000"/>
          <w:sz w:val="20"/>
          <w:szCs w:val="20"/>
          <w:lang w:eastAsia="pt-PT"/>
        </w:rPr>
        <w:t xml:space="preserve"> subcritério serão considerados 3 </w:t>
      </w:r>
      <w:r w:rsidR="00751F17" w:rsidRPr="0074763F">
        <w:rPr>
          <w:rFonts w:ascii="Arial Narrow" w:eastAsia="Times New Roman" w:hAnsi="Arial Narrow" w:cs="Times New Roman"/>
          <w:color w:val="000000"/>
          <w:sz w:val="20"/>
          <w:szCs w:val="20"/>
          <w:lang w:eastAsia="pt-PT"/>
        </w:rPr>
        <w:t xml:space="preserve">parâmetros de pontuação: </w:t>
      </w:r>
      <w:r w:rsidR="00751F17" w:rsidRPr="0074763F">
        <w:rPr>
          <w:rFonts w:ascii="Arial Narrow" w:eastAsia="Times New Roman" w:hAnsi="Arial Narrow" w:cs="Times New Roman"/>
          <w:b/>
          <w:color w:val="000000"/>
          <w:sz w:val="20"/>
          <w:szCs w:val="20"/>
          <w:lang w:eastAsia="pt-PT"/>
        </w:rPr>
        <w:t>1 a 2</w:t>
      </w:r>
      <w:r w:rsidR="00751F17" w:rsidRPr="0074763F">
        <w:rPr>
          <w:rFonts w:ascii="Arial Narrow" w:eastAsia="Times New Roman" w:hAnsi="Arial Narrow" w:cs="Times New Roman"/>
          <w:color w:val="000000"/>
          <w:sz w:val="20"/>
          <w:szCs w:val="20"/>
          <w:lang w:eastAsia="pt-PT"/>
        </w:rPr>
        <w:t>,</w:t>
      </w:r>
      <w:r w:rsidR="00E835D1" w:rsidRPr="0074763F">
        <w:rPr>
          <w:rFonts w:ascii="Arial Narrow" w:eastAsia="Times New Roman" w:hAnsi="Arial Narrow" w:cs="Times New Roman"/>
          <w:color w:val="000000"/>
          <w:sz w:val="20"/>
          <w:szCs w:val="20"/>
          <w:lang w:eastAsia="pt-PT"/>
        </w:rPr>
        <w:t xml:space="preserve"> quando a avaliação obtida em cada subcritério não é relevante ou com puco significado; </w:t>
      </w:r>
      <w:r w:rsidR="00E835D1" w:rsidRPr="0074763F">
        <w:rPr>
          <w:rFonts w:ascii="Arial Narrow" w:eastAsia="Times New Roman" w:hAnsi="Arial Narrow" w:cs="Times New Roman"/>
          <w:b/>
          <w:color w:val="000000"/>
          <w:sz w:val="20"/>
          <w:szCs w:val="20"/>
          <w:lang w:eastAsia="pt-PT"/>
        </w:rPr>
        <w:t>3</w:t>
      </w:r>
      <w:r w:rsidR="00E835D1" w:rsidRPr="0074763F">
        <w:rPr>
          <w:rFonts w:ascii="Arial Narrow" w:eastAsia="Times New Roman" w:hAnsi="Arial Narrow" w:cs="Times New Roman"/>
          <w:color w:val="000000"/>
          <w:sz w:val="20"/>
          <w:szCs w:val="20"/>
          <w:lang w:eastAsia="pt-PT"/>
        </w:rPr>
        <w:t xml:space="preserve"> quando o resultado da avaliação se enquadra dentro dos parâmetros normais verificáveis na ilha/Região, tendo por base um intervalo de 8% (4% para cima e 4% para baixo), quando há utilização de medida estatística de localização estatística, como seja a média, e </w:t>
      </w:r>
      <w:r w:rsidR="00E835D1" w:rsidRPr="0074763F">
        <w:rPr>
          <w:rFonts w:ascii="Arial Narrow" w:eastAsia="Times New Roman" w:hAnsi="Arial Narrow" w:cs="Times New Roman"/>
          <w:b/>
          <w:color w:val="000000"/>
          <w:sz w:val="20"/>
          <w:szCs w:val="20"/>
          <w:lang w:eastAsia="pt-PT"/>
        </w:rPr>
        <w:t>4 a 5</w:t>
      </w:r>
      <w:r w:rsidR="00E835D1" w:rsidRPr="0074763F">
        <w:rPr>
          <w:rFonts w:ascii="Arial Narrow" w:eastAsia="Times New Roman" w:hAnsi="Arial Narrow" w:cs="Times New Roman"/>
          <w:color w:val="000000"/>
          <w:sz w:val="20"/>
          <w:szCs w:val="20"/>
          <w:lang w:eastAsia="pt-PT"/>
        </w:rPr>
        <w:t xml:space="preserve">, quando os resultados da avaliação superam valores médios e/ou significam especial interesse e relevância, após ponderação da justificação para a atribuição da pontuação. </w:t>
      </w:r>
    </w:p>
    <w:p w14:paraId="5B2B98E9" w14:textId="77777777" w:rsidR="00E835D1" w:rsidRPr="0074763F" w:rsidRDefault="00E835D1" w:rsidP="004F2575">
      <w:pPr>
        <w:spacing w:before="120" w:after="0" w:line="320" w:lineRule="atLeast"/>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Para o caso especifico da instalação de sistemas para autoconsumo a pontuação atribuída será de 5 pontos se previsto, 3 pontos para os restantes situações.</w:t>
      </w:r>
    </w:p>
    <w:p w14:paraId="3296197B" w14:textId="77777777" w:rsidR="00E835D1" w:rsidRPr="0074763F" w:rsidRDefault="00E835D1" w:rsidP="004F2575">
      <w:pPr>
        <w:spacing w:before="120" w:after="120" w:line="320" w:lineRule="exact"/>
        <w:ind w:left="357"/>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Em termos esquemáticos temos:</w:t>
      </w:r>
    </w:p>
    <w:tbl>
      <w:tblPr>
        <w:tblW w:w="9800" w:type="dxa"/>
        <w:jc w:val="center"/>
        <w:tblCellMar>
          <w:left w:w="70" w:type="dxa"/>
          <w:right w:w="70" w:type="dxa"/>
        </w:tblCellMar>
        <w:tblLook w:val="04A0" w:firstRow="1" w:lastRow="0" w:firstColumn="1" w:lastColumn="0" w:noHBand="0" w:noVBand="1"/>
      </w:tblPr>
      <w:tblGrid>
        <w:gridCol w:w="5786"/>
        <w:gridCol w:w="969"/>
        <w:gridCol w:w="1163"/>
        <w:gridCol w:w="748"/>
        <w:gridCol w:w="1134"/>
      </w:tblGrid>
      <w:tr w:rsidR="004F2575" w:rsidRPr="0074763F" w14:paraId="3802E7BC" w14:textId="77777777" w:rsidTr="00022E5C">
        <w:trPr>
          <w:trHeight w:val="397"/>
          <w:jc w:val="center"/>
        </w:trPr>
        <w:tc>
          <w:tcPr>
            <w:tcW w:w="5893" w:type="dxa"/>
            <w:vMerge w:val="restart"/>
            <w:tcBorders>
              <w:top w:val="single" w:sz="4" w:space="0" w:color="auto"/>
              <w:left w:val="single" w:sz="4" w:space="0" w:color="auto"/>
              <w:right w:val="single" w:sz="4" w:space="0" w:color="auto"/>
            </w:tcBorders>
            <w:vAlign w:val="center"/>
          </w:tcPr>
          <w:p w14:paraId="435C60AB"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Subcritério</w:t>
            </w:r>
          </w:p>
        </w:tc>
        <w:tc>
          <w:tcPr>
            <w:tcW w:w="862" w:type="dxa"/>
            <w:vMerge w:val="restart"/>
            <w:tcBorders>
              <w:top w:val="single" w:sz="4" w:space="0" w:color="auto"/>
              <w:left w:val="single" w:sz="4" w:space="0" w:color="auto"/>
              <w:right w:val="single" w:sz="4" w:space="0" w:color="auto"/>
            </w:tcBorders>
            <w:vAlign w:val="center"/>
          </w:tcPr>
          <w:p w14:paraId="49F569EB"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Ponderador</w:t>
            </w: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ED487E"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Pontuação</w:t>
            </w:r>
          </w:p>
        </w:tc>
      </w:tr>
      <w:tr w:rsidR="004F2575" w:rsidRPr="0074763F" w14:paraId="66BC0ACD" w14:textId="77777777" w:rsidTr="00022E5C">
        <w:trPr>
          <w:trHeight w:val="510"/>
          <w:jc w:val="center"/>
        </w:trPr>
        <w:tc>
          <w:tcPr>
            <w:tcW w:w="5893" w:type="dxa"/>
            <w:vMerge/>
            <w:tcBorders>
              <w:left w:val="single" w:sz="4" w:space="0" w:color="auto"/>
              <w:bottom w:val="single" w:sz="4" w:space="0" w:color="auto"/>
              <w:right w:val="single" w:sz="4" w:space="0" w:color="auto"/>
            </w:tcBorders>
            <w:vAlign w:val="center"/>
          </w:tcPr>
          <w:p w14:paraId="6280E898"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p>
        </w:tc>
        <w:tc>
          <w:tcPr>
            <w:tcW w:w="862" w:type="dxa"/>
            <w:vMerge/>
            <w:tcBorders>
              <w:left w:val="single" w:sz="4" w:space="0" w:color="auto"/>
              <w:bottom w:val="single" w:sz="4" w:space="0" w:color="auto"/>
              <w:right w:val="single" w:sz="4" w:space="0" w:color="auto"/>
            </w:tcBorders>
            <w:vAlign w:val="center"/>
          </w:tcPr>
          <w:p w14:paraId="0667EC22"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A90D1"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Inexistente /</w:t>
            </w:r>
          </w:p>
          <w:p w14:paraId="6AF2922B"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Fraco</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6DE5934"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Médio</w:t>
            </w:r>
          </w:p>
        </w:tc>
        <w:tc>
          <w:tcPr>
            <w:tcW w:w="1134" w:type="dxa"/>
            <w:tcBorders>
              <w:top w:val="single" w:sz="4" w:space="0" w:color="auto"/>
              <w:left w:val="nil"/>
              <w:bottom w:val="single" w:sz="4" w:space="0" w:color="auto"/>
              <w:right w:val="single" w:sz="4" w:space="0" w:color="auto"/>
            </w:tcBorders>
            <w:vAlign w:val="center"/>
          </w:tcPr>
          <w:p w14:paraId="4B111B26"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Elevado</w:t>
            </w:r>
          </w:p>
          <w:p w14:paraId="6A4B5300" w14:textId="77777777" w:rsidR="004F2575" w:rsidRPr="004F2575" w:rsidRDefault="004F2575" w:rsidP="004F2575">
            <w:pPr>
              <w:spacing w:after="0" w:line="240" w:lineRule="auto"/>
              <w:jc w:val="center"/>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 Significativo</w:t>
            </w:r>
          </w:p>
        </w:tc>
      </w:tr>
      <w:tr w:rsidR="00E835D1" w:rsidRPr="0074763F" w14:paraId="25436ED1" w14:textId="77777777" w:rsidTr="00022E5C">
        <w:trPr>
          <w:trHeight w:val="966"/>
          <w:jc w:val="center"/>
        </w:trPr>
        <w:tc>
          <w:tcPr>
            <w:tcW w:w="5893" w:type="dxa"/>
            <w:tcBorders>
              <w:top w:val="single" w:sz="4" w:space="0" w:color="auto"/>
              <w:left w:val="single" w:sz="4" w:space="0" w:color="auto"/>
              <w:bottom w:val="single" w:sz="4" w:space="0" w:color="auto"/>
              <w:right w:val="single" w:sz="4" w:space="0" w:color="auto"/>
            </w:tcBorders>
            <w:vAlign w:val="center"/>
          </w:tcPr>
          <w:p w14:paraId="56F75893" w14:textId="77777777" w:rsidR="00E835D1" w:rsidRPr="004F2575" w:rsidRDefault="00E835D1" w:rsidP="004F2575">
            <w:pPr>
              <w:pStyle w:val="PargrafodaLista"/>
              <w:numPr>
                <w:ilvl w:val="0"/>
                <w:numId w:val="30"/>
              </w:numPr>
              <w:spacing w:after="0" w:line="240" w:lineRule="auto"/>
              <w:ind w:left="255" w:hanging="218"/>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Racionalidade</w:t>
            </w:r>
            <w:r w:rsidR="001E2947" w:rsidRPr="004F2575">
              <w:rPr>
                <w:rFonts w:ascii="Arial Narrow" w:eastAsia="Times New Roman" w:hAnsi="Arial Narrow" w:cs="Times New Roman"/>
                <w:b/>
                <w:bCs/>
                <w:color w:val="000000"/>
                <w:sz w:val="18"/>
                <w:szCs w:val="18"/>
                <w:lang w:eastAsia="pt-PT"/>
              </w:rPr>
              <w:t xml:space="preserve"> </w:t>
            </w:r>
            <w:r w:rsidRPr="004F2575">
              <w:rPr>
                <w:rFonts w:ascii="Arial Narrow" w:eastAsia="Times New Roman" w:hAnsi="Arial Narrow" w:cs="Times New Roman"/>
                <w:b/>
                <w:bCs/>
                <w:color w:val="000000"/>
                <w:sz w:val="18"/>
                <w:szCs w:val="18"/>
                <w:lang w:eastAsia="pt-PT"/>
              </w:rPr>
              <w:t>Económica</w:t>
            </w:r>
          </w:p>
          <w:p w14:paraId="6A0DF423" w14:textId="77777777" w:rsidR="00E835D1" w:rsidRPr="0074763F" w:rsidRDefault="00B95B33" w:rsidP="004F2575">
            <w:pPr>
              <w:pStyle w:val="PargrafodaLista"/>
              <w:spacing w:after="0" w:line="280" w:lineRule="atLeast"/>
              <w:ind w:left="255"/>
              <w:contextualSpacing w:val="0"/>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Avaliada a partir do r</w:t>
            </w:r>
            <w:r w:rsidR="00E835D1" w:rsidRPr="0074763F">
              <w:rPr>
                <w:rFonts w:ascii="Arial Narrow" w:eastAsia="Times New Roman" w:hAnsi="Arial Narrow" w:cs="Times New Roman"/>
                <w:color w:val="000000"/>
                <w:sz w:val="20"/>
                <w:szCs w:val="20"/>
                <w:lang w:eastAsia="pt-PT"/>
              </w:rPr>
              <w:t>atio entre o investimento e a redução do consumo (tep)</w:t>
            </w:r>
          </w:p>
        </w:tc>
        <w:tc>
          <w:tcPr>
            <w:tcW w:w="862" w:type="dxa"/>
            <w:tcBorders>
              <w:top w:val="single" w:sz="4" w:space="0" w:color="auto"/>
              <w:left w:val="single" w:sz="4" w:space="0" w:color="auto"/>
              <w:bottom w:val="single" w:sz="4" w:space="0" w:color="auto"/>
              <w:right w:val="single" w:sz="4" w:space="0" w:color="auto"/>
            </w:tcBorders>
            <w:vAlign w:val="center"/>
          </w:tcPr>
          <w:p w14:paraId="345BE2C5" w14:textId="77777777" w:rsidR="00E835D1" w:rsidRPr="0074763F" w:rsidRDefault="001E2947" w:rsidP="001E2947">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70</w:t>
            </w:r>
            <w:r w:rsidR="00E835D1" w:rsidRPr="0074763F">
              <w:rPr>
                <w:rFonts w:ascii="Arial Narrow" w:eastAsia="Times New Roman" w:hAnsi="Arial Narrow" w:cs="Times New Roman"/>
                <w:color w:val="000000"/>
                <w:sz w:val="20"/>
                <w:szCs w:val="20"/>
                <w:lang w:eastAsia="pt-PT"/>
              </w:rPr>
              <w:t>%</w:t>
            </w:r>
          </w:p>
        </w:tc>
        <w:tc>
          <w:tcPr>
            <w:tcW w:w="1163" w:type="dxa"/>
            <w:tcBorders>
              <w:top w:val="single" w:sz="4" w:space="0" w:color="auto"/>
              <w:left w:val="single" w:sz="4" w:space="0" w:color="auto"/>
              <w:right w:val="single" w:sz="4" w:space="0" w:color="auto"/>
            </w:tcBorders>
            <w:shd w:val="clear" w:color="auto" w:fill="auto"/>
            <w:noWrap/>
            <w:vAlign w:val="center"/>
            <w:hideMark/>
          </w:tcPr>
          <w:p w14:paraId="4417634D" w14:textId="77777777" w:rsidR="001E2947" w:rsidRPr="004F2575" w:rsidRDefault="001E2947" w:rsidP="004F2575">
            <w:pPr>
              <w:spacing w:after="0" w:line="240" w:lineRule="auto"/>
              <w:jc w:val="center"/>
              <w:rPr>
                <w:rFonts w:ascii="Arial Narrow" w:eastAsia="Times New Roman" w:hAnsi="Arial Narrow" w:cs="Times New Roman"/>
                <w:color w:val="000000"/>
                <w:sz w:val="20"/>
                <w:szCs w:val="20"/>
                <w:lang w:eastAsia="pt-PT"/>
              </w:rPr>
            </w:pPr>
            <w:r w:rsidRPr="004F2575">
              <w:rPr>
                <w:rFonts w:ascii="Arial Narrow" w:eastAsia="Times New Roman" w:hAnsi="Arial Narrow" w:cs="Times New Roman"/>
                <w:color w:val="000000"/>
                <w:sz w:val="20"/>
                <w:szCs w:val="20"/>
                <w:lang w:eastAsia="pt-PT"/>
              </w:rPr>
              <w:t>1</w:t>
            </w:r>
            <w:r w:rsidR="004F2575" w:rsidRPr="004F2575">
              <w:rPr>
                <w:rFonts w:ascii="Arial Narrow" w:eastAsia="Times New Roman" w:hAnsi="Arial Narrow" w:cs="Times New Roman"/>
                <w:color w:val="000000"/>
                <w:sz w:val="20"/>
                <w:szCs w:val="20"/>
                <w:lang w:eastAsia="pt-PT"/>
              </w:rPr>
              <w:t xml:space="preserve"> </w:t>
            </w:r>
            <w:proofErr w:type="gramStart"/>
            <w:r w:rsidRPr="004F2575">
              <w:rPr>
                <w:rFonts w:ascii="Arial Narrow" w:eastAsia="Times New Roman" w:hAnsi="Arial Narrow" w:cs="Times New Roman"/>
                <w:color w:val="000000"/>
                <w:sz w:val="20"/>
                <w:szCs w:val="20"/>
                <w:lang w:eastAsia="pt-PT"/>
              </w:rPr>
              <w:t>a</w:t>
            </w:r>
            <w:proofErr w:type="gramEnd"/>
            <w:r w:rsidR="004F2575" w:rsidRPr="004F2575">
              <w:rPr>
                <w:rFonts w:ascii="Arial Narrow" w:eastAsia="Times New Roman" w:hAnsi="Arial Narrow" w:cs="Times New Roman"/>
                <w:color w:val="000000"/>
                <w:sz w:val="20"/>
                <w:szCs w:val="20"/>
                <w:lang w:eastAsia="pt-PT"/>
              </w:rPr>
              <w:t xml:space="preserve"> </w:t>
            </w:r>
            <w:r w:rsidRPr="004F2575">
              <w:rPr>
                <w:rFonts w:ascii="Arial Narrow" w:eastAsia="Times New Roman" w:hAnsi="Arial Narrow" w:cs="Times New Roman"/>
                <w:color w:val="000000"/>
                <w:sz w:val="20"/>
                <w:szCs w:val="20"/>
                <w:lang w:eastAsia="pt-PT"/>
              </w:rPr>
              <w:t>2</w:t>
            </w:r>
          </w:p>
        </w:tc>
        <w:tc>
          <w:tcPr>
            <w:tcW w:w="748" w:type="dxa"/>
            <w:tcBorders>
              <w:top w:val="single" w:sz="4" w:space="0" w:color="auto"/>
              <w:left w:val="single" w:sz="4" w:space="0" w:color="auto"/>
              <w:right w:val="single" w:sz="4" w:space="0" w:color="auto"/>
            </w:tcBorders>
            <w:shd w:val="clear" w:color="auto" w:fill="auto"/>
            <w:noWrap/>
            <w:vAlign w:val="center"/>
            <w:hideMark/>
          </w:tcPr>
          <w:p w14:paraId="5049629B" w14:textId="77777777" w:rsidR="00E835D1" w:rsidRPr="0074763F" w:rsidRDefault="001E2947" w:rsidP="001E2947">
            <w:pPr>
              <w:spacing w:after="0" w:line="240" w:lineRule="auto"/>
              <w:jc w:val="center"/>
              <w:rPr>
                <w:rFonts w:ascii="Arial Narrow" w:eastAsia="Times New Roman" w:hAnsi="Arial Narrow" w:cs="Times New Roman"/>
                <w:bCs/>
                <w:color w:val="000000"/>
                <w:sz w:val="20"/>
                <w:szCs w:val="20"/>
                <w:lang w:eastAsia="pt-PT"/>
              </w:rPr>
            </w:pPr>
            <w:r w:rsidRPr="0074763F">
              <w:rPr>
                <w:rFonts w:ascii="Arial Narrow" w:eastAsia="Times New Roman" w:hAnsi="Arial Narrow" w:cs="Times New Roman"/>
                <w:bCs/>
                <w:color w:val="000000"/>
                <w:sz w:val="20"/>
                <w:szCs w:val="20"/>
                <w:lang w:eastAsia="pt-PT"/>
              </w:rPr>
              <w:t>3</w:t>
            </w:r>
          </w:p>
        </w:tc>
        <w:tc>
          <w:tcPr>
            <w:tcW w:w="1134" w:type="dxa"/>
            <w:tcBorders>
              <w:top w:val="single" w:sz="4" w:space="0" w:color="auto"/>
              <w:left w:val="single" w:sz="4" w:space="0" w:color="auto"/>
              <w:right w:val="single" w:sz="4" w:space="0" w:color="auto"/>
            </w:tcBorders>
            <w:vAlign w:val="center"/>
          </w:tcPr>
          <w:p w14:paraId="2A58A1C9" w14:textId="77777777" w:rsidR="001E2947" w:rsidRPr="004F2575" w:rsidRDefault="001E2947" w:rsidP="004F2575">
            <w:pPr>
              <w:spacing w:after="0" w:line="240" w:lineRule="auto"/>
              <w:jc w:val="center"/>
              <w:rPr>
                <w:rFonts w:ascii="Arial Narrow" w:eastAsia="Times New Roman" w:hAnsi="Arial Narrow" w:cs="Times New Roman"/>
                <w:color w:val="000000"/>
                <w:sz w:val="20"/>
                <w:szCs w:val="20"/>
                <w:lang w:eastAsia="pt-PT"/>
              </w:rPr>
            </w:pPr>
            <w:r w:rsidRPr="004F2575">
              <w:rPr>
                <w:rFonts w:ascii="Arial Narrow" w:eastAsia="Times New Roman" w:hAnsi="Arial Narrow" w:cs="Times New Roman"/>
                <w:color w:val="000000"/>
                <w:sz w:val="20"/>
                <w:szCs w:val="20"/>
                <w:lang w:eastAsia="pt-PT"/>
              </w:rPr>
              <w:t>4</w:t>
            </w:r>
            <w:r w:rsidR="004F2575" w:rsidRPr="004F2575">
              <w:rPr>
                <w:rFonts w:ascii="Arial Narrow" w:eastAsia="Times New Roman" w:hAnsi="Arial Narrow" w:cs="Times New Roman"/>
                <w:color w:val="000000"/>
                <w:sz w:val="20"/>
                <w:szCs w:val="20"/>
                <w:lang w:eastAsia="pt-PT"/>
              </w:rPr>
              <w:t xml:space="preserve"> </w:t>
            </w:r>
            <w:proofErr w:type="gramStart"/>
            <w:r w:rsidRPr="004F2575">
              <w:rPr>
                <w:rFonts w:ascii="Arial Narrow" w:eastAsia="Times New Roman" w:hAnsi="Arial Narrow" w:cs="Times New Roman"/>
                <w:color w:val="000000"/>
                <w:sz w:val="20"/>
                <w:szCs w:val="20"/>
                <w:lang w:eastAsia="pt-PT"/>
              </w:rPr>
              <w:t>a</w:t>
            </w:r>
            <w:proofErr w:type="gramEnd"/>
            <w:r w:rsidR="004F2575" w:rsidRPr="004F2575">
              <w:rPr>
                <w:rFonts w:ascii="Arial Narrow" w:eastAsia="Times New Roman" w:hAnsi="Arial Narrow" w:cs="Times New Roman"/>
                <w:color w:val="000000"/>
                <w:sz w:val="20"/>
                <w:szCs w:val="20"/>
                <w:lang w:eastAsia="pt-PT"/>
              </w:rPr>
              <w:t xml:space="preserve"> </w:t>
            </w:r>
            <w:r w:rsidRPr="004F2575">
              <w:rPr>
                <w:rFonts w:ascii="Arial Narrow" w:eastAsia="Times New Roman" w:hAnsi="Arial Narrow" w:cs="Times New Roman"/>
                <w:color w:val="000000"/>
                <w:sz w:val="20"/>
                <w:szCs w:val="20"/>
                <w:lang w:eastAsia="pt-PT"/>
              </w:rPr>
              <w:t>5</w:t>
            </w:r>
          </w:p>
        </w:tc>
      </w:tr>
      <w:tr w:rsidR="00E835D1" w:rsidRPr="0074763F" w14:paraId="78D9D334" w14:textId="77777777" w:rsidTr="00022E5C">
        <w:trPr>
          <w:trHeight w:val="1186"/>
          <w:jc w:val="center"/>
        </w:trPr>
        <w:tc>
          <w:tcPr>
            <w:tcW w:w="5893" w:type="dxa"/>
            <w:tcBorders>
              <w:top w:val="single" w:sz="4" w:space="0" w:color="auto"/>
              <w:left w:val="single" w:sz="4" w:space="0" w:color="auto"/>
              <w:bottom w:val="single" w:sz="4" w:space="0" w:color="auto"/>
              <w:right w:val="single" w:sz="4" w:space="0" w:color="auto"/>
            </w:tcBorders>
            <w:vAlign w:val="center"/>
          </w:tcPr>
          <w:p w14:paraId="26FF16C1" w14:textId="77777777" w:rsidR="00E835D1" w:rsidRPr="004F2575" w:rsidRDefault="00E835D1" w:rsidP="004F2575">
            <w:pPr>
              <w:pStyle w:val="PargrafodaLista"/>
              <w:numPr>
                <w:ilvl w:val="0"/>
                <w:numId w:val="30"/>
              </w:numPr>
              <w:spacing w:after="0" w:line="240" w:lineRule="auto"/>
              <w:ind w:left="255" w:hanging="218"/>
              <w:rPr>
                <w:rFonts w:ascii="Arial Narrow" w:eastAsia="Times New Roman" w:hAnsi="Arial Narrow" w:cs="Times New Roman"/>
                <w:b/>
                <w:bCs/>
                <w:color w:val="000000"/>
                <w:sz w:val="18"/>
                <w:szCs w:val="18"/>
                <w:lang w:eastAsia="pt-PT"/>
              </w:rPr>
            </w:pPr>
            <w:r w:rsidRPr="004F2575">
              <w:rPr>
                <w:rFonts w:ascii="Arial Narrow" w:eastAsia="Times New Roman" w:hAnsi="Arial Narrow" w:cs="Times New Roman"/>
                <w:b/>
                <w:bCs/>
                <w:color w:val="000000"/>
                <w:sz w:val="18"/>
                <w:szCs w:val="18"/>
                <w:lang w:eastAsia="pt-PT"/>
              </w:rPr>
              <w:t>Instalação de sistemas de autoconsumo a partir de renováveis.</w:t>
            </w:r>
          </w:p>
          <w:p w14:paraId="2318A0E3" w14:textId="77777777" w:rsidR="00E835D1" w:rsidRPr="0074763F" w:rsidRDefault="00E835D1" w:rsidP="004F2575">
            <w:pPr>
              <w:pStyle w:val="PargrafodaLista"/>
              <w:spacing w:after="0" w:line="280" w:lineRule="atLeast"/>
              <w:ind w:left="255"/>
              <w:contextualSpacing w:val="0"/>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Prevista a instalação de sistemas de produção para autoconsumo a partir de renováveis.</w:t>
            </w:r>
          </w:p>
        </w:tc>
        <w:tc>
          <w:tcPr>
            <w:tcW w:w="862" w:type="dxa"/>
            <w:tcBorders>
              <w:top w:val="single" w:sz="4" w:space="0" w:color="auto"/>
              <w:left w:val="single" w:sz="4" w:space="0" w:color="auto"/>
              <w:bottom w:val="single" w:sz="4" w:space="0" w:color="auto"/>
              <w:right w:val="single" w:sz="4" w:space="0" w:color="auto"/>
            </w:tcBorders>
            <w:vAlign w:val="center"/>
          </w:tcPr>
          <w:p w14:paraId="02E0F5D7" w14:textId="77777777" w:rsidR="00E835D1" w:rsidRPr="0074763F" w:rsidRDefault="001E2947" w:rsidP="001E2947">
            <w:pPr>
              <w:spacing w:after="0" w:line="240" w:lineRule="auto"/>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30</w:t>
            </w:r>
            <w:r w:rsidR="00E835D1" w:rsidRPr="0074763F">
              <w:rPr>
                <w:rFonts w:ascii="Arial Narrow" w:eastAsia="Times New Roman" w:hAnsi="Arial Narrow" w:cs="Times New Roman"/>
                <w:color w:val="000000"/>
                <w:sz w:val="20"/>
                <w:szCs w:val="20"/>
                <w:lang w:eastAsia="pt-PT"/>
              </w:rPr>
              <w:t>%</w:t>
            </w: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43F6A0" w14:textId="77777777" w:rsidR="00E835D1" w:rsidRPr="0074763F" w:rsidRDefault="00E835D1" w:rsidP="004F2575">
            <w:pPr>
              <w:spacing w:after="0" w:line="320" w:lineRule="atLeast"/>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5 </w:t>
            </w:r>
            <w:proofErr w:type="gramStart"/>
            <w:r w:rsidRPr="0074763F">
              <w:rPr>
                <w:rFonts w:ascii="Arial Narrow" w:eastAsia="Times New Roman" w:hAnsi="Arial Narrow" w:cs="Times New Roman"/>
                <w:color w:val="000000"/>
                <w:sz w:val="20"/>
                <w:szCs w:val="20"/>
                <w:lang w:eastAsia="pt-PT"/>
              </w:rPr>
              <w:t>pontos</w:t>
            </w:r>
            <w:proofErr w:type="gramEnd"/>
            <w:r w:rsidRPr="0074763F">
              <w:rPr>
                <w:rFonts w:ascii="Arial Narrow" w:eastAsia="Times New Roman" w:hAnsi="Arial Narrow" w:cs="Times New Roman"/>
                <w:color w:val="000000"/>
                <w:sz w:val="20"/>
                <w:szCs w:val="20"/>
                <w:lang w:eastAsia="pt-PT"/>
              </w:rPr>
              <w:t xml:space="preserve"> se afirmativo</w:t>
            </w:r>
          </w:p>
          <w:p w14:paraId="49591079" w14:textId="77777777" w:rsidR="00E835D1" w:rsidRPr="0074763F" w:rsidRDefault="00E835D1" w:rsidP="004F2575">
            <w:pPr>
              <w:spacing w:after="0" w:line="320" w:lineRule="atLeast"/>
              <w:jc w:val="center"/>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3 </w:t>
            </w:r>
            <w:proofErr w:type="gramStart"/>
            <w:r w:rsidRPr="0074763F">
              <w:rPr>
                <w:rFonts w:ascii="Arial Narrow" w:eastAsia="Times New Roman" w:hAnsi="Arial Narrow" w:cs="Times New Roman"/>
                <w:color w:val="000000"/>
                <w:sz w:val="20"/>
                <w:szCs w:val="20"/>
                <w:lang w:eastAsia="pt-PT"/>
              </w:rPr>
              <w:t>pontos</w:t>
            </w:r>
            <w:proofErr w:type="gramEnd"/>
            <w:r w:rsidRPr="0074763F">
              <w:rPr>
                <w:rFonts w:ascii="Arial Narrow" w:eastAsia="Times New Roman" w:hAnsi="Arial Narrow" w:cs="Times New Roman"/>
                <w:color w:val="000000"/>
                <w:sz w:val="20"/>
                <w:szCs w:val="20"/>
                <w:lang w:eastAsia="pt-PT"/>
              </w:rPr>
              <w:t xml:space="preserve"> outra situação</w:t>
            </w:r>
          </w:p>
        </w:tc>
      </w:tr>
    </w:tbl>
    <w:p w14:paraId="578859F7" w14:textId="77777777" w:rsidR="00E835D1" w:rsidRPr="0074763F" w:rsidRDefault="00E835D1" w:rsidP="005D73CC">
      <w:pPr>
        <w:spacing w:after="120" w:line="360" w:lineRule="auto"/>
        <w:ind w:left="360"/>
        <w:jc w:val="both"/>
        <w:rPr>
          <w:rFonts w:ascii="Arial Narrow" w:eastAsia="Times New Roman" w:hAnsi="Arial Narrow" w:cs="Times New Roman"/>
          <w:color w:val="000000"/>
          <w:sz w:val="20"/>
          <w:szCs w:val="20"/>
          <w:lang w:eastAsia="pt-PT"/>
        </w:rPr>
      </w:pPr>
    </w:p>
    <w:p w14:paraId="24F03E1C" w14:textId="77777777" w:rsidR="006F72B8" w:rsidRPr="0074763F" w:rsidRDefault="006F72B8" w:rsidP="005D73CC">
      <w:pPr>
        <w:spacing w:after="120" w:line="360" w:lineRule="auto"/>
        <w:ind w:left="360"/>
        <w:jc w:val="both"/>
        <w:rPr>
          <w:rFonts w:ascii="Arial Narrow" w:eastAsia="Times New Roman" w:hAnsi="Arial Narrow" w:cs="Times New Roman"/>
          <w:color w:val="000000"/>
          <w:sz w:val="20"/>
          <w:szCs w:val="20"/>
          <w:lang w:eastAsia="pt-PT"/>
        </w:rPr>
      </w:pPr>
    </w:p>
    <w:p w14:paraId="2F8B88CC" w14:textId="77777777" w:rsidR="006F72B8" w:rsidRPr="00864B58" w:rsidRDefault="006F72B8" w:rsidP="00864B58">
      <w:pPr>
        <w:spacing w:before="120" w:after="240" w:line="320" w:lineRule="atLeast"/>
        <w:jc w:val="both"/>
        <w:rPr>
          <w:rFonts w:ascii="Arial Narrow" w:hAnsi="Arial Narrow"/>
          <w:b/>
          <w:sz w:val="16"/>
          <w:szCs w:val="16"/>
        </w:rPr>
      </w:pPr>
      <w:r w:rsidRPr="00864B58">
        <w:rPr>
          <w:rFonts w:ascii="Arial Narrow" w:hAnsi="Arial Narrow"/>
          <w:b/>
          <w:sz w:val="16"/>
          <w:szCs w:val="16"/>
        </w:rPr>
        <w:t>Tipologia de investimento</w:t>
      </w:r>
      <w:r w:rsidR="00B95B33" w:rsidRPr="00864B58">
        <w:rPr>
          <w:rFonts w:ascii="Arial Narrow" w:hAnsi="Arial Narrow"/>
          <w:b/>
          <w:sz w:val="16"/>
          <w:szCs w:val="16"/>
        </w:rPr>
        <w:t xml:space="preserve"> 3</w:t>
      </w:r>
      <w:r w:rsidRPr="00864B58">
        <w:rPr>
          <w:rFonts w:ascii="Arial Narrow" w:hAnsi="Arial Narrow"/>
          <w:b/>
          <w:sz w:val="16"/>
          <w:szCs w:val="16"/>
        </w:rPr>
        <w:t>:</w:t>
      </w:r>
    </w:p>
    <w:p w14:paraId="170BBEAC" w14:textId="77777777" w:rsidR="006F72B8" w:rsidRPr="0074763F" w:rsidRDefault="006F72B8" w:rsidP="006F72B8">
      <w:pPr>
        <w:pStyle w:val="PargrafodaLista"/>
        <w:numPr>
          <w:ilvl w:val="0"/>
          <w:numId w:val="23"/>
        </w:numPr>
        <w:pBdr>
          <w:top w:val="single" w:sz="4" w:space="1" w:color="auto"/>
          <w:left w:val="single" w:sz="4" w:space="4" w:color="auto"/>
          <w:bottom w:val="single" w:sz="4" w:space="1" w:color="auto"/>
          <w:right w:val="single" w:sz="4" w:space="4" w:color="auto"/>
        </w:pBdr>
        <w:spacing w:before="100" w:after="0" w:line="320" w:lineRule="atLeast"/>
        <w:ind w:left="714" w:hanging="357"/>
        <w:contextualSpacing w:val="0"/>
        <w:jc w:val="both"/>
        <w:rPr>
          <w:rFonts w:ascii="Arial Narrow" w:hAnsi="Arial Narrow"/>
          <w:i/>
          <w:sz w:val="20"/>
          <w:szCs w:val="20"/>
        </w:rPr>
      </w:pPr>
      <w:r w:rsidRPr="0074763F">
        <w:rPr>
          <w:rFonts w:ascii="Arial Narrow" w:hAnsi="Arial Narrow"/>
          <w:i/>
          <w:sz w:val="20"/>
          <w:szCs w:val="20"/>
        </w:rPr>
        <w:t>Ações de informação, de divulgação e comunicação e de planeamento estratégico</w:t>
      </w:r>
    </w:p>
    <w:p w14:paraId="389E87AE" w14:textId="77777777" w:rsidR="006F72B8" w:rsidRPr="0074763F" w:rsidRDefault="006F72B8" w:rsidP="005D73CC">
      <w:pPr>
        <w:spacing w:after="120" w:line="360" w:lineRule="auto"/>
        <w:ind w:left="360"/>
        <w:jc w:val="both"/>
        <w:rPr>
          <w:rFonts w:ascii="Arial Narrow" w:eastAsia="Times New Roman" w:hAnsi="Arial Narrow" w:cs="Times New Roman"/>
          <w:b/>
          <w:color w:val="000000"/>
          <w:sz w:val="20"/>
          <w:szCs w:val="20"/>
          <w:lang w:eastAsia="pt-PT"/>
        </w:rPr>
      </w:pPr>
    </w:p>
    <w:p w14:paraId="34C7E4B8" w14:textId="77777777" w:rsidR="00B95B33" w:rsidRPr="0074763F" w:rsidRDefault="00B95B33" w:rsidP="00B95B33">
      <w:pPr>
        <w:pStyle w:val="PargrafodaLista"/>
        <w:spacing w:after="120" w:line="360" w:lineRule="auto"/>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Pela natureza destas operações os critérios de seleção avaliam essencialmente o interesse da ação e a razoabilidade de custos, em termos de comparação com ações de natureza equivalente.</w:t>
      </w:r>
    </w:p>
    <w:p w14:paraId="739E3DC2" w14:textId="77777777" w:rsidR="002E4AF6" w:rsidRPr="004F2575" w:rsidRDefault="002E4AF6" w:rsidP="004F2575">
      <w:pPr>
        <w:spacing w:before="100" w:after="0" w:line="320" w:lineRule="atLeast"/>
        <w:jc w:val="both"/>
        <w:rPr>
          <w:rFonts w:ascii="Arial Narrow" w:hAnsi="Arial Narrow"/>
          <w:sz w:val="24"/>
          <w:szCs w:val="24"/>
          <w:u w:val="single"/>
        </w:rPr>
      </w:pPr>
      <w:r w:rsidRPr="004F2575">
        <w:rPr>
          <w:rFonts w:ascii="Arial Narrow" w:hAnsi="Arial Narrow"/>
          <w:sz w:val="24"/>
          <w:szCs w:val="24"/>
          <w:u w:val="single"/>
        </w:rPr>
        <w:t>Critérios de seleção:</w:t>
      </w:r>
    </w:p>
    <w:p w14:paraId="18B4304B" w14:textId="77777777" w:rsidR="002E4AF6" w:rsidRPr="0074763F" w:rsidRDefault="002E4AF6" w:rsidP="002E4AF6">
      <w:pPr>
        <w:pStyle w:val="PargrafodaLista"/>
        <w:spacing w:after="0"/>
        <w:jc w:val="both"/>
        <w:rPr>
          <w:rFonts w:ascii="Arial Narrow" w:hAnsi="Arial Narrow"/>
          <w:sz w:val="20"/>
          <w:szCs w:val="20"/>
        </w:rPr>
      </w:pPr>
    </w:p>
    <w:p w14:paraId="53AD679D" w14:textId="77777777" w:rsidR="00B95B33" w:rsidRPr="0074763F" w:rsidRDefault="002E4AF6" w:rsidP="002E4AF6">
      <w:pPr>
        <w:spacing w:after="0"/>
        <w:ind w:left="720" w:hanging="294"/>
        <w:jc w:val="both"/>
        <w:rPr>
          <w:rFonts w:ascii="Arial Narrow" w:eastAsia="Times New Roman" w:hAnsi="Arial Narrow" w:cs="Times New Roman"/>
          <w:b/>
          <w:color w:val="000000"/>
          <w:sz w:val="20"/>
          <w:szCs w:val="20"/>
          <w:lang w:eastAsia="pt-PT"/>
        </w:rPr>
      </w:pPr>
      <w:r w:rsidRPr="0074763F">
        <w:rPr>
          <w:rFonts w:ascii="Arial Narrow" w:hAnsi="Arial Narrow"/>
          <w:b/>
          <w:bCs/>
          <w:sz w:val="20"/>
          <w:szCs w:val="20"/>
        </w:rPr>
        <w:t xml:space="preserve">A. </w:t>
      </w:r>
      <w:r w:rsidR="00B95B33" w:rsidRPr="0074763F">
        <w:rPr>
          <w:rFonts w:ascii="Arial Narrow" w:hAnsi="Arial Narrow"/>
          <w:b/>
          <w:bCs/>
          <w:sz w:val="20"/>
          <w:szCs w:val="20"/>
        </w:rPr>
        <w:t>Eficácia</w:t>
      </w:r>
      <w:r w:rsidR="008F1C4F" w:rsidRPr="0074763F">
        <w:rPr>
          <w:rFonts w:ascii="Arial Narrow" w:eastAsia="Times New Roman" w:hAnsi="Arial Narrow" w:cs="Times New Roman"/>
          <w:b/>
          <w:color w:val="000000"/>
          <w:sz w:val="20"/>
          <w:szCs w:val="20"/>
          <w:lang w:eastAsia="pt-PT"/>
        </w:rPr>
        <w:t xml:space="preserve"> (60%)</w:t>
      </w:r>
    </w:p>
    <w:p w14:paraId="3E6CDEFB" w14:textId="77777777" w:rsidR="00B95B33" w:rsidRPr="0074763F" w:rsidRDefault="00B95B33" w:rsidP="00B95B33">
      <w:pPr>
        <w:pStyle w:val="PargrafodaLista"/>
        <w:spacing w:after="120" w:line="360" w:lineRule="auto"/>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 xml:space="preserve">Avaliada a oportunidade, </w:t>
      </w:r>
      <w:r w:rsidR="008F1C4F" w:rsidRPr="0074763F">
        <w:rPr>
          <w:rFonts w:ascii="Arial Narrow" w:eastAsia="Times New Roman" w:hAnsi="Arial Narrow" w:cs="Times New Roman"/>
          <w:color w:val="000000"/>
          <w:sz w:val="20"/>
          <w:szCs w:val="20"/>
          <w:lang w:eastAsia="pt-PT"/>
        </w:rPr>
        <w:t xml:space="preserve">a qualidade, </w:t>
      </w:r>
      <w:r w:rsidRPr="0074763F">
        <w:rPr>
          <w:rFonts w:ascii="Arial Narrow" w:eastAsia="Times New Roman" w:hAnsi="Arial Narrow" w:cs="Times New Roman"/>
          <w:color w:val="000000"/>
          <w:sz w:val="20"/>
          <w:szCs w:val="20"/>
          <w:lang w:eastAsia="pt-PT"/>
        </w:rPr>
        <w:t>o interesse e o alcance da ação no contexto dos objetivos principais da prioridade de investimento</w:t>
      </w:r>
      <w:r w:rsidR="008F1C4F" w:rsidRPr="0074763F">
        <w:rPr>
          <w:rFonts w:ascii="Arial Narrow" w:eastAsia="Times New Roman" w:hAnsi="Arial Narrow" w:cs="Times New Roman"/>
          <w:color w:val="000000"/>
          <w:sz w:val="20"/>
          <w:szCs w:val="20"/>
          <w:lang w:eastAsia="pt-PT"/>
        </w:rPr>
        <w:t>, numa escala de 1 a 5.</w:t>
      </w:r>
    </w:p>
    <w:p w14:paraId="71B32111" w14:textId="77777777" w:rsidR="008F1C4F" w:rsidRPr="0074763F" w:rsidRDefault="002E4AF6" w:rsidP="002E4AF6">
      <w:pPr>
        <w:spacing w:after="0"/>
        <w:ind w:left="720" w:hanging="294"/>
        <w:jc w:val="both"/>
        <w:rPr>
          <w:rFonts w:ascii="Arial Narrow" w:eastAsia="Times New Roman" w:hAnsi="Arial Narrow" w:cs="Times New Roman"/>
          <w:b/>
          <w:color w:val="000000"/>
          <w:sz w:val="20"/>
          <w:szCs w:val="20"/>
          <w:lang w:eastAsia="pt-PT"/>
        </w:rPr>
      </w:pPr>
      <w:r w:rsidRPr="0074763F">
        <w:rPr>
          <w:rFonts w:ascii="Arial Narrow" w:hAnsi="Arial Narrow"/>
          <w:b/>
          <w:bCs/>
          <w:sz w:val="20"/>
          <w:szCs w:val="20"/>
        </w:rPr>
        <w:t xml:space="preserve">B. </w:t>
      </w:r>
      <w:r w:rsidR="008F1C4F" w:rsidRPr="0074763F">
        <w:rPr>
          <w:rFonts w:ascii="Arial Narrow" w:hAnsi="Arial Narrow"/>
          <w:b/>
          <w:bCs/>
          <w:sz w:val="20"/>
          <w:szCs w:val="20"/>
        </w:rPr>
        <w:t>Eficiência</w:t>
      </w:r>
      <w:r w:rsidR="008F1C4F" w:rsidRPr="0074763F">
        <w:rPr>
          <w:rFonts w:ascii="Arial Narrow" w:eastAsia="Times New Roman" w:hAnsi="Arial Narrow" w:cs="Times New Roman"/>
          <w:b/>
          <w:color w:val="000000"/>
          <w:sz w:val="20"/>
          <w:szCs w:val="20"/>
          <w:lang w:eastAsia="pt-PT"/>
        </w:rPr>
        <w:t xml:space="preserve"> (40%)</w:t>
      </w:r>
    </w:p>
    <w:p w14:paraId="000879DF" w14:textId="77777777" w:rsidR="008F1C4F" w:rsidRPr="0074763F" w:rsidRDefault="008F1C4F" w:rsidP="008F1C4F">
      <w:pPr>
        <w:pStyle w:val="PargrafodaLista"/>
        <w:spacing w:after="120" w:line="360" w:lineRule="auto"/>
        <w:jc w:val="both"/>
        <w:rPr>
          <w:rFonts w:ascii="Arial Narrow" w:eastAsia="Times New Roman" w:hAnsi="Arial Narrow" w:cs="Times New Roman"/>
          <w:color w:val="000000"/>
          <w:sz w:val="20"/>
          <w:szCs w:val="20"/>
          <w:lang w:eastAsia="pt-PT"/>
        </w:rPr>
      </w:pPr>
      <w:r w:rsidRPr="0074763F">
        <w:rPr>
          <w:rFonts w:ascii="Arial Narrow" w:eastAsia="Times New Roman" w:hAnsi="Arial Narrow" w:cs="Times New Roman"/>
          <w:color w:val="000000"/>
          <w:sz w:val="20"/>
          <w:szCs w:val="20"/>
          <w:lang w:eastAsia="pt-PT"/>
        </w:rPr>
        <w:t>Avaliados os recursos mobilizados e os custos associados para a realização da ação, tendo por base ações equivalentes neste ou em outros domínios e áreas com a mesma natureza e configuração, numa escala de 1 a 5.</w:t>
      </w:r>
    </w:p>
    <w:p w14:paraId="60381AAE" w14:textId="77777777" w:rsidR="006F72B8" w:rsidRPr="00022E5C" w:rsidRDefault="008F1C4F" w:rsidP="004F2575">
      <w:pPr>
        <w:pStyle w:val="PargrafodaLista"/>
        <w:spacing w:after="120" w:line="360" w:lineRule="auto"/>
        <w:ind w:left="0"/>
        <w:jc w:val="center"/>
        <w:rPr>
          <w:rFonts w:ascii="Arial Narrow" w:eastAsia="Times New Roman" w:hAnsi="Arial Narrow" w:cs="Times New Roman"/>
          <w:b/>
          <w:color w:val="000000"/>
          <w:sz w:val="24"/>
          <w:szCs w:val="24"/>
          <w:lang w:eastAsia="pt-PT"/>
        </w:rPr>
      </w:pPr>
      <w:r w:rsidRPr="00022E5C">
        <w:rPr>
          <w:rFonts w:ascii="Arial Narrow" w:eastAsia="Times New Roman" w:hAnsi="Arial Narrow" w:cs="Times New Roman"/>
          <w:b/>
          <w:color w:val="000000"/>
          <w:sz w:val="24"/>
          <w:szCs w:val="24"/>
          <w:lang w:eastAsia="pt-PT"/>
        </w:rPr>
        <w:t>Anexo</w:t>
      </w:r>
    </w:p>
    <w:p w14:paraId="636467AB" w14:textId="77777777" w:rsidR="008F1C4F" w:rsidRPr="00022E5C" w:rsidRDefault="008F1C4F" w:rsidP="008F1C4F">
      <w:pPr>
        <w:jc w:val="both"/>
        <w:rPr>
          <w:rFonts w:ascii="Arial Narrow" w:eastAsia="Times New Roman" w:hAnsi="Arial Narrow" w:cs="Times New Roman"/>
          <w:color w:val="000000"/>
          <w:sz w:val="20"/>
          <w:szCs w:val="20"/>
          <w:lang w:eastAsia="pt-PT"/>
        </w:rPr>
      </w:pPr>
      <w:r w:rsidRPr="00022E5C">
        <w:rPr>
          <w:rFonts w:ascii="Arial Narrow" w:eastAsia="Times New Roman" w:hAnsi="Arial Narrow" w:cs="Times New Roman"/>
          <w:color w:val="000000"/>
          <w:sz w:val="20"/>
          <w:szCs w:val="20"/>
          <w:lang w:eastAsia="pt-PT"/>
        </w:rPr>
        <w:t>Condicionalidades decorrentes de normativos comunitários relativos à execução dos apoios previstos na prioridade 4.3 - Apoio à eficiência energética, à gestão inteligente da energia e à utilização das energias renováveis nas infraestruturas públicas, nomeadamente nos edifícios públicos.</w:t>
      </w:r>
    </w:p>
    <w:p w14:paraId="1DE9E629"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Os projetos de eficiência energética envolvem decisões de investimento baseadas numa análise custo-benefício. Neste sentido, qualquer projeto de eficiência energética deve necessariamente gerar benefícios financeiros líquidos positivos (i.e., o valor atualizado das poupanças geradas deve sempre exceder o valor atualizado do custo de investimento, operação, manutenção e reinvestimento por substituição se aplicável). Deste modo, não será apoiado nenhum projeto que não cumpra esta condição.</w:t>
      </w:r>
    </w:p>
    <w:p w14:paraId="312F80F9" w14:textId="0CB00F0C"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A promoção da eficiência energética será sempre feita através de projetos que partem da realização de uma auditoria/estudo/análise energética que permita ao promotor estruturar o projeto. O projeto irá concretizar as soluções apontadas nesse estudo e que constituem soluções integradas no domínio da eficiência energética, incluindo a utilização e produção de energia a partir de fontes de energia renovável para autoconsumo. Nestas soluções poderão ser apoiadas, entre outras, as ações relativas a integração</w:t>
      </w:r>
      <w:r w:rsidR="006847AF">
        <w:rPr>
          <w:rFonts w:ascii="Arial Narrow" w:eastAsia="Calibri" w:hAnsi="Arial Narrow"/>
          <w:i/>
          <w:sz w:val="20"/>
          <w:szCs w:val="20"/>
          <w:lang w:eastAsia="pt-PT"/>
        </w:rPr>
        <w:t xml:space="preserve"> de</w:t>
      </w:r>
      <w:r w:rsidRPr="00022E5C">
        <w:rPr>
          <w:rFonts w:ascii="Arial Narrow" w:eastAsia="Calibri" w:hAnsi="Arial Narrow"/>
          <w:i/>
          <w:sz w:val="20"/>
          <w:szCs w:val="20"/>
          <w:lang w:eastAsia="pt-PT"/>
        </w:rPr>
        <w:t xml:space="preserve"> AQS,</w:t>
      </w:r>
      <w:r w:rsidR="006847AF" w:rsidRPr="006847AF">
        <w:t xml:space="preserve"> </w:t>
      </w:r>
      <w:r w:rsidR="006847AF" w:rsidRPr="006847AF">
        <w:rPr>
          <w:rFonts w:ascii="Arial Narrow" w:eastAsia="Calibri" w:hAnsi="Arial Narrow"/>
          <w:i/>
          <w:sz w:val="20"/>
          <w:szCs w:val="20"/>
          <w:lang w:eastAsia="pt-PT"/>
        </w:rPr>
        <w:t>unidades de produção para autoconsumo (UPAC)</w:t>
      </w:r>
      <w:r w:rsidRPr="00022E5C">
        <w:rPr>
          <w:rFonts w:ascii="Arial Narrow" w:eastAsia="Calibri" w:hAnsi="Arial Narrow"/>
          <w:i/>
          <w:sz w:val="20"/>
          <w:szCs w:val="20"/>
          <w:lang w:eastAsia="pt-PT"/>
        </w:rPr>
        <w:t xml:space="preserve"> e intervenções na cobertura e fachada do edifício.</w:t>
      </w:r>
    </w:p>
    <w:p w14:paraId="06738E47" w14:textId="24B9E2BD"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Todas as intervenções devem ter por base a categoria de desempenho energético inicial do edifício/</w:t>
      </w:r>
      <w:r w:rsidRPr="006847AF">
        <w:rPr>
          <w:rFonts w:ascii="Arial Narrow" w:eastAsia="Calibri" w:hAnsi="Arial Narrow"/>
          <w:i/>
          <w:sz w:val="20"/>
          <w:szCs w:val="20"/>
          <w:lang w:eastAsia="pt-PT"/>
        </w:rPr>
        <w:t>infraestrutura</w:t>
      </w:r>
      <w:r w:rsidRPr="00022E5C">
        <w:rPr>
          <w:rFonts w:ascii="Arial Narrow" w:eastAsia="Calibri" w:hAnsi="Arial Narrow"/>
          <w:i/>
          <w:sz w:val="20"/>
          <w:szCs w:val="20"/>
          <w:lang w:eastAsia="pt-PT"/>
        </w:rPr>
        <w:t xml:space="preserve"> e deverão focar-se em edifícios/</w:t>
      </w:r>
      <w:r w:rsidRPr="006847AF">
        <w:rPr>
          <w:rFonts w:ascii="Arial Narrow" w:eastAsia="Calibri" w:hAnsi="Arial Narrow"/>
          <w:i/>
          <w:sz w:val="20"/>
          <w:szCs w:val="20"/>
          <w:lang w:eastAsia="pt-PT"/>
        </w:rPr>
        <w:t>infraestruturas</w:t>
      </w:r>
      <w:r w:rsidRPr="00022E5C">
        <w:rPr>
          <w:rFonts w:ascii="Arial Narrow" w:eastAsia="Calibri" w:hAnsi="Arial Narrow"/>
          <w:i/>
          <w:sz w:val="20"/>
          <w:szCs w:val="20"/>
          <w:lang w:eastAsia="pt-PT"/>
        </w:rPr>
        <w:t xml:space="preserve"> com pior desempe</w:t>
      </w:r>
      <w:r w:rsidR="006847AF">
        <w:rPr>
          <w:rFonts w:ascii="Arial Narrow" w:eastAsia="Calibri" w:hAnsi="Arial Narrow"/>
          <w:i/>
          <w:sz w:val="20"/>
          <w:szCs w:val="20"/>
          <w:lang w:eastAsia="pt-PT"/>
        </w:rPr>
        <w:t>nho energético (categorias E, F</w:t>
      </w:r>
      <w:r w:rsidRPr="00022E5C">
        <w:rPr>
          <w:rFonts w:ascii="Arial Narrow" w:eastAsia="Calibri" w:hAnsi="Arial Narrow"/>
          <w:i/>
          <w:sz w:val="20"/>
          <w:szCs w:val="20"/>
          <w:lang w:eastAsia="pt-PT"/>
        </w:rPr>
        <w:t>). Os projetos em eficiência energética devem ir para além dos requisitos mínimos obrigatórios estabelecidos em direito comunitário (</w:t>
      </w:r>
      <w:proofErr w:type="spellStart"/>
      <w:r w:rsidRPr="00022E5C">
        <w:rPr>
          <w:rFonts w:ascii="Arial Narrow" w:eastAsia="Calibri" w:hAnsi="Arial Narrow"/>
          <w:i/>
          <w:sz w:val="20"/>
          <w:szCs w:val="20"/>
          <w:lang w:eastAsia="pt-PT"/>
        </w:rPr>
        <w:t>Energy</w:t>
      </w:r>
      <w:proofErr w:type="spellEnd"/>
      <w:r w:rsidRPr="00022E5C">
        <w:rPr>
          <w:rFonts w:ascii="Arial Narrow" w:eastAsia="Calibri" w:hAnsi="Arial Narrow"/>
          <w:i/>
          <w:sz w:val="20"/>
          <w:szCs w:val="20"/>
          <w:lang w:eastAsia="pt-PT"/>
        </w:rPr>
        <w:t xml:space="preserve"> Performance </w:t>
      </w:r>
      <w:proofErr w:type="spellStart"/>
      <w:r w:rsidRPr="00022E5C">
        <w:rPr>
          <w:rFonts w:ascii="Arial Narrow" w:eastAsia="Calibri" w:hAnsi="Arial Narrow"/>
          <w:i/>
          <w:sz w:val="20"/>
          <w:szCs w:val="20"/>
          <w:lang w:eastAsia="pt-PT"/>
        </w:rPr>
        <w:t>of</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Buildings</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Directive</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and</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Renewable</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Energy</w:t>
      </w:r>
      <w:proofErr w:type="spellEnd"/>
      <w:r w:rsidRPr="00022E5C">
        <w:rPr>
          <w:rFonts w:ascii="Arial Narrow" w:eastAsia="Calibri" w:hAnsi="Arial Narrow"/>
          <w:i/>
          <w:sz w:val="20"/>
          <w:szCs w:val="20"/>
          <w:lang w:eastAsia="pt-PT"/>
        </w:rPr>
        <w:t xml:space="preserve"> </w:t>
      </w:r>
      <w:proofErr w:type="spellStart"/>
      <w:r w:rsidRPr="00022E5C">
        <w:rPr>
          <w:rFonts w:ascii="Arial Narrow" w:eastAsia="Calibri" w:hAnsi="Arial Narrow"/>
          <w:i/>
          <w:sz w:val="20"/>
          <w:szCs w:val="20"/>
          <w:lang w:eastAsia="pt-PT"/>
        </w:rPr>
        <w:t>Directive</w:t>
      </w:r>
      <w:proofErr w:type="spellEnd"/>
      <w:r w:rsidRPr="00022E5C">
        <w:rPr>
          <w:rFonts w:ascii="Arial Narrow" w:eastAsia="Calibri" w:hAnsi="Arial Narrow"/>
          <w:i/>
          <w:sz w:val="20"/>
          <w:szCs w:val="20"/>
          <w:lang w:eastAsia="pt-PT"/>
        </w:rPr>
        <w:t>) e resultar em melhoramentos significativos em eficiência energética (estabelecidos através de um aumento em pelo menos 2 níveis no Certificado de Desempenho Energético. Os apoios serão baseados em custos-padrão máximos por superfície intervencionada ou equipamento substituído (estabelecidos por entidades públicas do setor da energia tendo em consideração valores reais de mercado) e serão antecedidos de auditorias/estudos/análises energéticas que permitam estruturar os projetos e efetuar as candidaturas finais de acordo com o princípio de requisitos mínimos de desempenho energético. No final, a melhoria do desempenho energético alcançado será aferida por recurso a avaliação “</w:t>
      </w:r>
      <w:proofErr w:type="spellStart"/>
      <w:r w:rsidRPr="00022E5C">
        <w:rPr>
          <w:rFonts w:ascii="Arial Narrow" w:eastAsia="Calibri" w:hAnsi="Arial Narrow"/>
          <w:i/>
          <w:sz w:val="20"/>
          <w:szCs w:val="20"/>
          <w:lang w:eastAsia="pt-PT"/>
        </w:rPr>
        <w:t>ex-post</w:t>
      </w:r>
      <w:proofErr w:type="spellEnd"/>
      <w:r w:rsidRPr="00022E5C">
        <w:rPr>
          <w:rFonts w:ascii="Arial Narrow" w:eastAsia="Calibri" w:hAnsi="Arial Narrow"/>
          <w:i/>
          <w:sz w:val="20"/>
          <w:szCs w:val="20"/>
          <w:lang w:eastAsia="pt-PT"/>
        </w:rPr>
        <w:t>” independente que permita a avaliação e o acompanhamento da qualidade e da eficiência energética de cada projeto.</w:t>
      </w:r>
    </w:p>
    <w:p w14:paraId="1A25E7A7" w14:textId="0A3C32A6"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Os projetos de eficiência energética na habitação (social) iniciam-se com uma auditoria energética, e devem concretizar as soluções apontadas nessa auditoria, no todo ou pelo menos para o conjunto de medidas identificadas que resultem em melhoramentos significativos em eficiência energética, e que constituem soluções integradas no domínio da eficiência energética, incluindo a possível produção de energia a partir de fontes de energia renovável para autoconsumo.</w:t>
      </w:r>
    </w:p>
    <w:p w14:paraId="3B34AB70"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As auditorias/estudos/análises energéticas deverão obrigatoriamente incidir sobre as componentes comuns e a envolvente do edifício e as frações individuais, permitindo estruturar e elaborar o projeto que deverá concretizar as soluções apontadas, no todo ou pelo menos para um conjunto de medidas identificadas que resultem em melhoramentos significativos em eficiência energética, e que constituem soluções integradas no domínio da eficiência energética.</w:t>
      </w:r>
    </w:p>
    <w:p w14:paraId="6EA1C33F" w14:textId="426FB072"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 xml:space="preserve">No caso de intervenções em edifícios da Administração Pública, que são sempre em edifícios já existentes, devem ser sempre considerados como requisitos mínimos obrigatórios os estabelecidos na Diretiva relativa ao Desempenho Energético nos Edifícios e na Diretiva relativa à promoção de energia proveniente de fontes de renováveis. Todas as intervenções devem ter por base a categoria de desempenho energético inicial do </w:t>
      </w:r>
      <w:r w:rsidRPr="006847AF">
        <w:rPr>
          <w:rFonts w:ascii="Arial Narrow" w:eastAsia="Calibri" w:hAnsi="Arial Narrow"/>
          <w:i/>
          <w:sz w:val="20"/>
          <w:szCs w:val="20"/>
          <w:lang w:eastAsia="pt-PT"/>
        </w:rPr>
        <w:t>edifício/infraestruturas</w:t>
      </w:r>
      <w:r w:rsidRPr="00022E5C">
        <w:rPr>
          <w:rFonts w:ascii="Arial Narrow" w:eastAsia="Calibri" w:hAnsi="Arial Narrow"/>
          <w:i/>
          <w:sz w:val="20"/>
          <w:szCs w:val="20"/>
          <w:lang w:eastAsia="pt-PT"/>
        </w:rPr>
        <w:t xml:space="preserve">, e deverão focar-se em </w:t>
      </w:r>
      <w:r w:rsidRPr="006847AF">
        <w:rPr>
          <w:rFonts w:ascii="Arial Narrow" w:eastAsia="Calibri" w:hAnsi="Arial Narrow"/>
          <w:i/>
          <w:sz w:val="20"/>
          <w:szCs w:val="20"/>
          <w:lang w:eastAsia="pt-PT"/>
        </w:rPr>
        <w:t>edifícios/infraestruturas</w:t>
      </w:r>
      <w:r w:rsidRPr="00022E5C">
        <w:rPr>
          <w:rFonts w:ascii="Arial Narrow" w:eastAsia="Calibri" w:hAnsi="Arial Narrow"/>
          <w:i/>
          <w:sz w:val="20"/>
          <w:szCs w:val="20"/>
          <w:lang w:eastAsia="pt-PT"/>
        </w:rPr>
        <w:t xml:space="preserve"> com pior desempenho energético (que não cumpram os requisitos mínimos da Diretiva ou que estejam classificados nas categorias E, F. e resultar em melhoramentos significativos em termos de eficiência energética (isto é aumento em pelo menos dois níveis no certificado de desempenho energético).</w:t>
      </w:r>
    </w:p>
    <w:p w14:paraId="4ECC46BD"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São consideradas as seguintes condicionantes:</w:t>
      </w:r>
    </w:p>
    <w:p w14:paraId="0DC2AE6F"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Não serão financiadas despesas de funcionamento e de manutenção. O apoio à eficiência energética na habitação social circunscreve-se àquela que se encontra em regime de renda apoiada e cuja propriedade é pública, não sendo financiadas despesas de funcionamento e de manutenção;</w:t>
      </w:r>
    </w:p>
    <w:p w14:paraId="00AA8FC6"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O apoio à utilização da eficiência energética na administração pública será desenvolvido em infraestruturas cuja propriedade e utilização seja da administração pública, num quadro de soluções integradas, no domínio da eficiência energética, incluindo a possível utilização de energias renováveis;</w:t>
      </w:r>
    </w:p>
    <w:p w14:paraId="2A5A624B" w14:textId="576C552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A política de eficiência energética nas infraestruturas públicas, nomeadamente no que respeita a elegibilidade, regras de partilha de benefícios, desempenhos melhorados, contratos tipo e instrumentos financeiros, será sempre definida a nível nacional pelas entidades responsáveis pelo setor da energia, nomeadamente pela DGEG</w:t>
      </w:r>
      <w:r w:rsidR="006847AF">
        <w:rPr>
          <w:rFonts w:ascii="Arial Narrow" w:eastAsia="Calibri" w:hAnsi="Arial Narrow"/>
          <w:i/>
          <w:sz w:val="20"/>
          <w:szCs w:val="20"/>
          <w:lang w:eastAsia="pt-PT"/>
        </w:rPr>
        <w:t>, e na Região também pela DR</w:t>
      </w:r>
      <w:bookmarkStart w:id="0" w:name="_GoBack"/>
      <w:bookmarkEnd w:id="0"/>
      <w:r w:rsidR="006847AF">
        <w:rPr>
          <w:rFonts w:ascii="Arial Narrow" w:eastAsia="Calibri" w:hAnsi="Arial Narrow"/>
          <w:i/>
          <w:sz w:val="20"/>
          <w:szCs w:val="20"/>
          <w:lang w:eastAsia="pt-PT"/>
        </w:rPr>
        <w:t>En</w:t>
      </w:r>
      <w:r w:rsidRPr="00022E5C">
        <w:rPr>
          <w:rFonts w:ascii="Arial Narrow" w:eastAsia="Calibri" w:hAnsi="Arial Narrow"/>
          <w:i/>
          <w:sz w:val="20"/>
          <w:szCs w:val="20"/>
          <w:lang w:eastAsia="pt-PT"/>
        </w:rPr>
        <w:t>. As operações que visem a melhoria da eficiência energética na rede de iluminação pública e nas instalações semafóricas terão como referência uma série de parâmetros técnicos que deve seguir um projeto de iluminação pública, e de acordo com os documentos de referência publicados pela ADENE e DGEG;</w:t>
      </w:r>
    </w:p>
    <w:p w14:paraId="68799609"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São sempre adotados mecanismos que permitam a recuperação total dos fundos alocados, exceto no caso dos apoios a projetos de eficiência energética na habitação social, cujos apoios serão não reembolsáveis, sendo sempre salvaguardada a legislação em termos de ajudas de Estado. No apoio aos investimentos em eficiência energética nas infraestruturas públicas, o instrumento financiador recupera pelo menos 70% da poupança líquida gerada;</w:t>
      </w:r>
    </w:p>
    <w:p w14:paraId="1B7DC4DB"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De salientar também a aposta no apoio às Empresas de Serviços Energéticos (ESE) enquanto veículos promotores da eficiência energética na Administração Pública, sendo que neste caso as ESE apenas poderão aceder a apoios através de um instrumento financeiro com apoios 100% reembolsáveis;</w:t>
      </w:r>
    </w:p>
    <w:p w14:paraId="42F5BECE"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Todos os apoios serão baseados na eficácia de custos e no nível inicial do desempenho energético e serão antecedidos de auditorias/estudos/análises energéticas que permitam estruturar os projetos e efetuar as candidaturas finais de acordo com o princípio de requisitos mínimos de desempenho energético por tipologia de intervenção (em termos ou de redução mínima de consumo de energia ou de obtenção de um nível mínimo de certificação final). Os custos destas auditorias/estudos/análises energéticas só serão cofinanciados se se concretizar na realização de investimentos, não sendo elegíveis quaisquer auditorias obrigatórias por lei;</w:t>
      </w:r>
    </w:p>
    <w:p w14:paraId="68A5B5FB"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Só serão apoiados projetos com produção de energia a partir de fontes renováveis desde que para autoconsumo e que façam parte de soluções integradas de promoção de eficiência energética;</w:t>
      </w:r>
    </w:p>
    <w:p w14:paraId="38435386" w14:textId="77777777" w:rsidR="008F1C4F" w:rsidRPr="00022E5C"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 xml:space="preserve">Os reembolsos gerados através de subvenções reembolsáveis são objeto de uma contabilização autónoma em matéria de fluxos financeiros e são reutilizados para o mesmo fim, em conformidade com os objetivos e segundo as regras do </w:t>
      </w:r>
      <w:proofErr w:type="spellStart"/>
      <w:r w:rsidRPr="00022E5C">
        <w:rPr>
          <w:rFonts w:ascii="Arial Narrow" w:eastAsia="Calibri" w:hAnsi="Arial Narrow"/>
          <w:i/>
          <w:sz w:val="20"/>
          <w:szCs w:val="20"/>
          <w:lang w:eastAsia="pt-PT"/>
        </w:rPr>
        <w:t>art</w:t>
      </w:r>
      <w:proofErr w:type="spellEnd"/>
      <w:r w:rsidRPr="00022E5C">
        <w:rPr>
          <w:rFonts w:ascii="Arial Narrow" w:eastAsia="Calibri" w:hAnsi="Arial Narrow"/>
          <w:i/>
          <w:sz w:val="20"/>
          <w:szCs w:val="20"/>
          <w:lang w:eastAsia="pt-PT"/>
        </w:rPr>
        <w:t xml:space="preserve">. 66º do </w:t>
      </w:r>
      <w:proofErr w:type="spellStart"/>
      <w:r w:rsidRPr="00022E5C">
        <w:rPr>
          <w:rFonts w:ascii="Arial Narrow" w:eastAsia="Calibri" w:hAnsi="Arial Narrow"/>
          <w:i/>
          <w:sz w:val="20"/>
          <w:szCs w:val="20"/>
          <w:lang w:eastAsia="pt-PT"/>
        </w:rPr>
        <w:t>Reg</w:t>
      </w:r>
      <w:proofErr w:type="spellEnd"/>
      <w:r w:rsidRPr="00022E5C">
        <w:rPr>
          <w:rFonts w:ascii="Arial Narrow" w:eastAsia="Calibri" w:hAnsi="Arial Narrow"/>
          <w:i/>
          <w:sz w:val="20"/>
          <w:szCs w:val="20"/>
          <w:lang w:eastAsia="pt-PT"/>
        </w:rPr>
        <w:t>. 1303/2013.</w:t>
      </w:r>
    </w:p>
    <w:p w14:paraId="09E80064" w14:textId="77777777" w:rsidR="008F1C4F" w:rsidRPr="008F1C4F" w:rsidRDefault="008F1C4F" w:rsidP="008F1C4F">
      <w:pPr>
        <w:spacing w:before="120" w:after="0" w:line="320" w:lineRule="atLeast"/>
        <w:jc w:val="both"/>
        <w:rPr>
          <w:rFonts w:ascii="Arial Narrow" w:eastAsia="Calibri" w:hAnsi="Arial Narrow"/>
          <w:i/>
          <w:sz w:val="20"/>
          <w:szCs w:val="20"/>
          <w:lang w:eastAsia="pt-PT"/>
        </w:rPr>
      </w:pPr>
      <w:r w:rsidRPr="00022E5C">
        <w:rPr>
          <w:rFonts w:ascii="Arial Narrow" w:eastAsia="Calibri" w:hAnsi="Arial Narrow"/>
          <w:i/>
          <w:sz w:val="20"/>
          <w:szCs w:val="20"/>
          <w:lang w:eastAsia="pt-PT"/>
        </w:rPr>
        <w:t>O relatório de execução do PO, incluindo o relatório final, deve incluir uma análise da aplicação desta forma de financiamento, nomeadamente: tipos de operações abrangidas e montantes de fundo envolvidos; descrição dos mecanismos de gestão e aplicação destas ajudas reembolsáveis, incluindo em matéria de aplicação de mecanismos de bonificação (e.g. isenção de reembolsos em função do</w:t>
      </w:r>
      <w:r w:rsidRPr="008F1C4F">
        <w:rPr>
          <w:rFonts w:ascii="Arial Narrow" w:eastAsia="Calibri" w:hAnsi="Arial Narrow"/>
          <w:i/>
          <w:sz w:val="20"/>
          <w:szCs w:val="20"/>
          <w:lang w:eastAsia="pt-PT"/>
        </w:rPr>
        <w:t>s resultados das operações); contabilização dos reembolsos efetuados e suas posteriores aplicações.</w:t>
      </w:r>
    </w:p>
    <w:sectPr w:rsidR="008F1C4F" w:rsidRPr="008F1C4F" w:rsidSect="00947344">
      <w:headerReference w:type="default" r:id="rId9"/>
      <w:footerReference w:type="default" r:id="rId10"/>
      <w:pgSz w:w="11906" w:h="16838" w:code="9"/>
      <w:pgMar w:top="1701" w:right="1134" w:bottom="1134" w:left="1134"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E8A00" w15:done="0"/>
  <w15:commentEx w15:paraId="229AFE22" w15:done="0"/>
  <w15:commentEx w15:paraId="2F143605" w15:done="0"/>
  <w15:commentEx w15:paraId="54970839" w15:done="0"/>
  <w15:commentEx w15:paraId="67EC7776" w15:done="0"/>
  <w15:commentEx w15:paraId="73E8BF1A" w15:done="0"/>
  <w15:commentEx w15:paraId="782E15B6" w15:done="0"/>
  <w15:commentEx w15:paraId="53363439" w15:done="0"/>
  <w15:commentEx w15:paraId="0D96F003" w15:done="0"/>
  <w15:commentEx w15:paraId="1DDEB00C" w15:done="0"/>
  <w15:commentEx w15:paraId="46C1E07C" w15:done="0"/>
  <w15:commentEx w15:paraId="2DABFCCA" w15:done="0"/>
  <w15:commentEx w15:paraId="42A50484" w15:done="0"/>
  <w15:commentEx w15:paraId="796B35E4" w15:done="0"/>
  <w15:commentEx w15:paraId="7E1D4BE6" w15:done="0"/>
  <w15:commentEx w15:paraId="214BA3FB" w15:done="0"/>
  <w15:commentEx w15:paraId="6E0EF9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F908C" w14:textId="77777777" w:rsidR="004F2575" w:rsidRDefault="004F2575" w:rsidP="00947344">
      <w:pPr>
        <w:spacing w:after="0" w:line="240" w:lineRule="auto"/>
      </w:pPr>
      <w:r>
        <w:separator/>
      </w:r>
    </w:p>
  </w:endnote>
  <w:endnote w:type="continuationSeparator" w:id="0">
    <w:p w14:paraId="4EAE6B2E" w14:textId="77777777" w:rsidR="004F2575" w:rsidRDefault="004F2575" w:rsidP="0094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65snz">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47"/>
    </w:tblGrid>
    <w:tr w:rsidR="004F2575" w:rsidRPr="00D46AF4" w14:paraId="5AF4AB1F" w14:textId="77777777" w:rsidTr="00947344">
      <w:tc>
        <w:tcPr>
          <w:tcW w:w="9747" w:type="dxa"/>
          <w:shd w:val="clear" w:color="auto" w:fill="auto"/>
        </w:tcPr>
        <w:p w14:paraId="3A75771B" w14:textId="77777777" w:rsidR="004F2575" w:rsidRPr="00D46AF4" w:rsidRDefault="004F2575" w:rsidP="00947344">
          <w:pPr>
            <w:spacing w:before="120" w:after="0" w:line="240" w:lineRule="auto"/>
            <w:rPr>
              <w:rFonts w:ascii="Calibri" w:eastAsia="Calibri" w:hAnsi="Calibri"/>
              <w:color w:val="404040" w:themeColor="text1" w:themeTint="BF"/>
              <w:sz w:val="12"/>
              <w:szCs w:val="12"/>
            </w:rPr>
          </w:pPr>
          <w:r w:rsidRPr="00D46AF4">
            <w:rPr>
              <w:rFonts w:ascii="Calibri" w:eastAsia="Calibri" w:hAnsi="Calibri"/>
              <w:color w:val="404040" w:themeColor="text1" w:themeTint="BF"/>
              <w:sz w:val="12"/>
              <w:szCs w:val="12"/>
            </w:rPr>
            <w:t>REGIÃO AUTÓNOM</w:t>
          </w:r>
          <w:r>
            <w:rPr>
              <w:rFonts w:ascii="Calibri" w:eastAsia="Calibri" w:hAnsi="Calibri"/>
              <w:color w:val="404040" w:themeColor="text1" w:themeTint="BF"/>
              <w:sz w:val="12"/>
              <w:szCs w:val="12"/>
            </w:rPr>
            <w:t xml:space="preserve">A DOS AÇORES – Vice-Presidência, Emprego e Competitividade Empresarial </w:t>
          </w:r>
          <w:r w:rsidRPr="00D46AF4">
            <w:rPr>
              <w:rFonts w:ascii="Calibri" w:eastAsia="Calibri" w:hAnsi="Calibri"/>
              <w:color w:val="404040" w:themeColor="text1" w:themeTint="BF"/>
              <w:sz w:val="12"/>
              <w:szCs w:val="12"/>
            </w:rPr>
            <w:t>– Direção Regional do P</w:t>
          </w:r>
          <w:r>
            <w:rPr>
              <w:rFonts w:ascii="Calibri" w:eastAsia="Calibri" w:hAnsi="Calibri"/>
              <w:color w:val="404040" w:themeColor="text1" w:themeTint="BF"/>
              <w:sz w:val="12"/>
              <w:szCs w:val="12"/>
            </w:rPr>
            <w:t>laneamento e Fundos Estruturais</w:t>
          </w:r>
        </w:p>
        <w:p w14:paraId="4767249E" w14:textId="77777777" w:rsidR="004F2575" w:rsidRPr="00D46AF4" w:rsidRDefault="004F2575" w:rsidP="00947344">
          <w:pPr>
            <w:spacing w:after="0" w:line="240" w:lineRule="auto"/>
            <w:rPr>
              <w:rFonts w:ascii="Calibri" w:eastAsia="Calibri" w:hAnsi="Calibri"/>
              <w:color w:val="404040" w:themeColor="text1" w:themeTint="BF"/>
              <w:sz w:val="12"/>
              <w:szCs w:val="12"/>
            </w:rPr>
          </w:pPr>
          <w:r w:rsidRPr="00D46AF4">
            <w:rPr>
              <w:rFonts w:ascii="Calibri" w:eastAsia="Calibri" w:hAnsi="Calibri"/>
              <w:color w:val="404040" w:themeColor="text1" w:themeTint="BF"/>
              <w:sz w:val="12"/>
              <w:szCs w:val="12"/>
            </w:rPr>
            <w:t xml:space="preserve">Caminho do Meio, 58 – São Carlos – 9701-853 Angra do Heroísmo – </w:t>
          </w:r>
          <w:proofErr w:type="spellStart"/>
          <w:r w:rsidRPr="00D46AF4">
            <w:rPr>
              <w:rFonts w:ascii="Calibri" w:eastAsia="Calibri" w:hAnsi="Calibri"/>
              <w:color w:val="404040" w:themeColor="text1" w:themeTint="BF"/>
              <w:sz w:val="12"/>
              <w:szCs w:val="12"/>
            </w:rPr>
            <w:t>Tel</w:t>
          </w:r>
          <w:proofErr w:type="spellEnd"/>
          <w:r w:rsidRPr="00D46AF4">
            <w:rPr>
              <w:rFonts w:ascii="Calibri" w:eastAsia="Calibri" w:hAnsi="Calibri"/>
              <w:color w:val="404040" w:themeColor="text1" w:themeTint="BF"/>
              <w:sz w:val="12"/>
              <w:szCs w:val="12"/>
            </w:rPr>
            <w:t xml:space="preserve">: </w:t>
          </w:r>
          <w:proofErr w:type="gramStart"/>
          <w:r w:rsidRPr="00D46AF4">
            <w:rPr>
              <w:rFonts w:ascii="Calibri" w:eastAsia="Calibri" w:hAnsi="Calibri"/>
              <w:color w:val="404040" w:themeColor="text1" w:themeTint="BF"/>
              <w:sz w:val="12"/>
              <w:szCs w:val="12"/>
            </w:rPr>
            <w:t>(+351</w:t>
          </w:r>
          <w:proofErr w:type="gramEnd"/>
          <w:r w:rsidRPr="00D46AF4">
            <w:rPr>
              <w:rFonts w:ascii="Calibri" w:eastAsia="Calibri" w:hAnsi="Calibri"/>
              <w:color w:val="404040" w:themeColor="text1" w:themeTint="BF"/>
              <w:sz w:val="12"/>
              <w:szCs w:val="12"/>
            </w:rPr>
            <w:t xml:space="preserve">)295 206 380  Fax: (+351) 295 206 </w:t>
          </w:r>
          <w:proofErr w:type="gramStart"/>
          <w:r w:rsidRPr="00D46AF4">
            <w:rPr>
              <w:rFonts w:ascii="Calibri" w:eastAsia="Calibri" w:hAnsi="Calibri"/>
              <w:color w:val="404040" w:themeColor="text1" w:themeTint="BF"/>
              <w:sz w:val="12"/>
              <w:szCs w:val="12"/>
            </w:rPr>
            <w:t>381</w:t>
          </w:r>
          <w:r>
            <w:rPr>
              <w:rFonts w:ascii="Calibri" w:eastAsia="Calibri" w:hAnsi="Calibri"/>
              <w:color w:val="404040" w:themeColor="text1" w:themeTint="BF"/>
              <w:sz w:val="12"/>
              <w:szCs w:val="12"/>
            </w:rPr>
            <w:t xml:space="preserve"> </w:t>
          </w:r>
          <w:r w:rsidRPr="00D46AF4">
            <w:rPr>
              <w:rFonts w:ascii="Calibri" w:eastAsia="Calibri" w:hAnsi="Calibri"/>
              <w:color w:val="404040" w:themeColor="text1" w:themeTint="BF"/>
              <w:sz w:val="12"/>
              <w:szCs w:val="12"/>
            </w:rPr>
            <w:t xml:space="preserve"> </w:t>
          </w:r>
          <w:proofErr w:type="gramEnd"/>
          <w:r>
            <w:fldChar w:fldCharType="begin"/>
          </w:r>
          <w:r>
            <w:instrText xml:space="preserve"> HYPERLINK "mailto:PO2014-2020@azores.gov.pt" </w:instrText>
          </w:r>
          <w:r>
            <w:fldChar w:fldCharType="separate"/>
          </w:r>
          <w:r w:rsidRPr="00D46AF4">
            <w:rPr>
              <w:rStyle w:val="Hiperligao"/>
              <w:rFonts w:ascii="Calibri" w:eastAsia="Calibri" w:hAnsi="Calibri"/>
              <w:color w:val="404040" w:themeColor="text1" w:themeTint="BF"/>
              <w:sz w:val="12"/>
              <w:szCs w:val="12"/>
            </w:rPr>
            <w:t>PO2014-2020@azores.gov.pt</w:t>
          </w:r>
          <w:r>
            <w:rPr>
              <w:rStyle w:val="Hiperligao"/>
              <w:rFonts w:ascii="Calibri" w:eastAsia="Calibri" w:hAnsi="Calibri"/>
              <w:color w:val="404040" w:themeColor="text1" w:themeTint="BF"/>
              <w:sz w:val="12"/>
              <w:szCs w:val="12"/>
            </w:rPr>
            <w:fldChar w:fldCharType="end"/>
          </w:r>
          <w:r>
            <w:rPr>
              <w:rStyle w:val="Hiperligao"/>
              <w:rFonts w:ascii="Calibri" w:eastAsia="Calibri" w:hAnsi="Calibri"/>
              <w:color w:val="404040" w:themeColor="text1" w:themeTint="BF"/>
              <w:sz w:val="12"/>
              <w:szCs w:val="12"/>
            </w:rPr>
            <w:t xml:space="preserve"> </w:t>
          </w:r>
          <w:r w:rsidRPr="00D46AF4">
            <w:rPr>
              <w:rFonts w:ascii="Calibri" w:eastAsia="Calibri" w:hAnsi="Calibri"/>
              <w:color w:val="404040" w:themeColor="text1" w:themeTint="BF"/>
              <w:sz w:val="12"/>
              <w:szCs w:val="12"/>
            </w:rPr>
            <w:t>www.poacores</w:t>
          </w:r>
          <w:r>
            <w:rPr>
              <w:rFonts w:ascii="Calibri" w:eastAsia="Calibri" w:hAnsi="Calibri"/>
              <w:color w:val="404040" w:themeColor="text1" w:themeTint="BF"/>
              <w:sz w:val="12"/>
              <w:szCs w:val="12"/>
            </w:rPr>
            <w:t>2020</w:t>
          </w:r>
          <w:r w:rsidRPr="00D46AF4">
            <w:rPr>
              <w:rFonts w:ascii="Calibri" w:eastAsia="Calibri" w:hAnsi="Calibri"/>
              <w:color w:val="404040" w:themeColor="text1" w:themeTint="BF"/>
              <w:sz w:val="12"/>
              <w:szCs w:val="12"/>
            </w:rPr>
            <w:t>.azores.gov.pt</w:t>
          </w:r>
        </w:p>
      </w:tc>
    </w:tr>
  </w:tbl>
  <w:sdt>
    <w:sdtPr>
      <w:rPr>
        <w:rFonts w:ascii="Arial Narrow" w:hAnsi="Arial Narrow"/>
        <w:sz w:val="18"/>
        <w:szCs w:val="18"/>
      </w:rPr>
      <w:id w:val="1477648756"/>
      <w:docPartObj>
        <w:docPartGallery w:val="Page Numbers (Top of Page)"/>
        <w:docPartUnique/>
      </w:docPartObj>
    </w:sdtPr>
    <w:sdtEndPr>
      <w:rPr>
        <w:sz w:val="16"/>
        <w:szCs w:val="16"/>
      </w:rPr>
    </w:sdtEndPr>
    <w:sdtContent>
      <w:p w14:paraId="7755A969" w14:textId="77777777" w:rsidR="004F2575" w:rsidRPr="00947344" w:rsidRDefault="004F2575" w:rsidP="00947344">
        <w:pPr>
          <w:pStyle w:val="Cabealho"/>
          <w:tabs>
            <w:tab w:val="clear" w:pos="8504"/>
          </w:tabs>
          <w:spacing w:before="60"/>
          <w:ind w:right="-1"/>
          <w:jc w:val="right"/>
          <w:rPr>
            <w:rFonts w:ascii="Arial Narrow" w:hAnsi="Arial Narrow"/>
            <w:sz w:val="16"/>
            <w:szCs w:val="16"/>
          </w:rPr>
        </w:pPr>
        <w:r w:rsidRPr="00400355">
          <w:rPr>
            <w:rFonts w:ascii="Arial Narrow" w:hAnsi="Arial Narrow"/>
            <w:bCs/>
            <w:sz w:val="16"/>
            <w:szCs w:val="16"/>
          </w:rPr>
          <w:fldChar w:fldCharType="begin"/>
        </w:r>
        <w:r w:rsidRPr="00400355">
          <w:rPr>
            <w:rFonts w:ascii="Arial Narrow" w:hAnsi="Arial Narrow"/>
            <w:bCs/>
            <w:sz w:val="16"/>
            <w:szCs w:val="16"/>
          </w:rPr>
          <w:instrText>PAGE</w:instrText>
        </w:r>
        <w:r w:rsidRPr="00400355">
          <w:rPr>
            <w:rFonts w:ascii="Arial Narrow" w:hAnsi="Arial Narrow"/>
            <w:bCs/>
            <w:sz w:val="16"/>
            <w:szCs w:val="16"/>
          </w:rPr>
          <w:fldChar w:fldCharType="separate"/>
        </w:r>
        <w:r w:rsidR="006847AF">
          <w:rPr>
            <w:rFonts w:ascii="Arial Narrow" w:hAnsi="Arial Narrow"/>
            <w:bCs/>
            <w:noProof/>
            <w:sz w:val="16"/>
            <w:szCs w:val="16"/>
          </w:rPr>
          <w:t>6</w:t>
        </w:r>
        <w:r w:rsidRPr="00400355">
          <w:rPr>
            <w:rFonts w:ascii="Arial Narrow" w:hAnsi="Arial Narrow"/>
            <w:bCs/>
            <w:sz w:val="16"/>
            <w:szCs w:val="16"/>
          </w:rPr>
          <w:fldChar w:fldCharType="end"/>
        </w:r>
        <w:r w:rsidRPr="00400355">
          <w:rPr>
            <w:rFonts w:ascii="Arial Narrow" w:hAnsi="Arial Narrow"/>
            <w:sz w:val="16"/>
            <w:szCs w:val="16"/>
          </w:rPr>
          <w:t xml:space="preserve"> </w:t>
        </w:r>
        <w:proofErr w:type="gramStart"/>
        <w:r w:rsidRPr="00400355">
          <w:rPr>
            <w:rFonts w:ascii="Arial Narrow" w:hAnsi="Arial Narrow"/>
            <w:sz w:val="16"/>
            <w:szCs w:val="16"/>
          </w:rPr>
          <w:t>de</w:t>
        </w:r>
        <w:proofErr w:type="gramEnd"/>
        <w:r w:rsidRPr="00400355">
          <w:rPr>
            <w:rFonts w:ascii="Arial Narrow" w:hAnsi="Arial Narrow"/>
            <w:sz w:val="16"/>
            <w:szCs w:val="16"/>
          </w:rPr>
          <w:t xml:space="preserve"> </w:t>
        </w:r>
        <w:r w:rsidRPr="00400355">
          <w:rPr>
            <w:rFonts w:ascii="Arial Narrow" w:hAnsi="Arial Narrow"/>
            <w:bCs/>
            <w:sz w:val="16"/>
            <w:szCs w:val="16"/>
          </w:rPr>
          <w:fldChar w:fldCharType="begin"/>
        </w:r>
        <w:r w:rsidRPr="00400355">
          <w:rPr>
            <w:rFonts w:ascii="Arial Narrow" w:hAnsi="Arial Narrow"/>
            <w:bCs/>
            <w:sz w:val="16"/>
            <w:szCs w:val="16"/>
          </w:rPr>
          <w:instrText>NUMPAGES</w:instrText>
        </w:r>
        <w:r w:rsidRPr="00400355">
          <w:rPr>
            <w:rFonts w:ascii="Arial Narrow" w:hAnsi="Arial Narrow"/>
            <w:bCs/>
            <w:sz w:val="16"/>
            <w:szCs w:val="16"/>
          </w:rPr>
          <w:fldChar w:fldCharType="separate"/>
        </w:r>
        <w:r w:rsidR="006847AF">
          <w:rPr>
            <w:rFonts w:ascii="Arial Narrow" w:hAnsi="Arial Narrow"/>
            <w:bCs/>
            <w:noProof/>
            <w:sz w:val="16"/>
            <w:szCs w:val="16"/>
          </w:rPr>
          <w:t>6</w:t>
        </w:r>
        <w:r w:rsidRPr="00400355">
          <w:rPr>
            <w:rFonts w:ascii="Arial Narrow" w:hAnsi="Arial Narrow"/>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5D985" w14:textId="77777777" w:rsidR="004F2575" w:rsidRDefault="004F2575" w:rsidP="00947344">
      <w:pPr>
        <w:spacing w:after="0" w:line="240" w:lineRule="auto"/>
      </w:pPr>
      <w:r>
        <w:separator/>
      </w:r>
    </w:p>
  </w:footnote>
  <w:footnote w:type="continuationSeparator" w:id="0">
    <w:p w14:paraId="28D98001" w14:textId="77777777" w:rsidR="004F2575" w:rsidRDefault="004F2575" w:rsidP="0094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2EA6" w14:textId="77777777" w:rsidR="004F2575" w:rsidRPr="007003C8" w:rsidRDefault="004F2575" w:rsidP="004F2575">
    <w:pPr>
      <w:pStyle w:val="Cabealho"/>
      <w:pBdr>
        <w:bottom w:val="single" w:sz="8" w:space="1" w:color="234182"/>
      </w:pBdr>
      <w:spacing w:before="240"/>
      <w:ind w:left="1797" w:hanging="1797"/>
      <w:jc w:val="center"/>
      <w:rPr>
        <w:rFonts w:ascii="Trebuchet MS" w:hAnsi="Trebuchet MS"/>
        <w:b/>
        <w:color w:val="204182"/>
      </w:rPr>
    </w:pPr>
    <w:r>
      <w:rPr>
        <w:noProof/>
        <w:color w:val="204182"/>
        <w:lang w:eastAsia="pt-PT"/>
      </w:rPr>
      <w:drawing>
        <wp:anchor distT="0" distB="0" distL="114300" distR="114300" simplePos="0" relativeHeight="251660288" behindDoc="0" locked="0" layoutInCell="1" allowOverlap="1" wp14:anchorId="07D1D09A" wp14:editId="173C4A89">
          <wp:simplePos x="0" y="0"/>
          <wp:positionH relativeFrom="column">
            <wp:posOffset>5053965</wp:posOffset>
          </wp:positionH>
          <wp:positionV relativeFrom="paragraph">
            <wp:posOffset>-86360</wp:posOffset>
          </wp:positionV>
          <wp:extent cx="1035050" cy="406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04182"/>
        <w:lang w:eastAsia="pt-PT"/>
      </w:rPr>
      <w:drawing>
        <wp:anchor distT="0" distB="0" distL="114300" distR="114300" simplePos="0" relativeHeight="251659264" behindDoc="0" locked="0" layoutInCell="1" allowOverlap="1" wp14:anchorId="7F043226" wp14:editId="5F04C77A">
          <wp:simplePos x="0" y="0"/>
          <wp:positionH relativeFrom="column">
            <wp:posOffset>70485</wp:posOffset>
          </wp:positionH>
          <wp:positionV relativeFrom="paragraph">
            <wp:posOffset>-86360</wp:posOffset>
          </wp:positionV>
          <wp:extent cx="1225550" cy="38544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3C8">
      <w:rPr>
        <w:rFonts w:ascii="Trebuchet MS" w:hAnsi="Trebuchet MS"/>
        <w:b/>
        <w:color w:val="204182"/>
      </w:rPr>
      <w:t>Programa Operacional Açores 2020</w:t>
    </w:r>
  </w:p>
  <w:p w14:paraId="20545F70" w14:textId="77777777" w:rsidR="004F2575" w:rsidRDefault="004F2575" w:rsidP="004F2575">
    <w:pPr>
      <w:pStyle w:val="Cabealho"/>
    </w:pPr>
  </w:p>
  <w:p w14:paraId="5FDE09F4" w14:textId="77777777" w:rsidR="004F2575" w:rsidRDefault="004F25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9C"/>
    <w:multiLevelType w:val="hybridMultilevel"/>
    <w:tmpl w:val="3334D1E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A076BCF"/>
    <w:multiLevelType w:val="hybridMultilevel"/>
    <w:tmpl w:val="E92006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C3D3F15"/>
    <w:multiLevelType w:val="hybridMultilevel"/>
    <w:tmpl w:val="6AF834BA"/>
    <w:lvl w:ilvl="0" w:tplc="2974D3FE">
      <w:start w:val="1"/>
      <w:numFmt w:val="lowerLetter"/>
      <w:lvlText w:val="%1)"/>
      <w:lvlJc w:val="left"/>
      <w:pPr>
        <w:ind w:left="1065" w:hanging="705"/>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0D825F85"/>
    <w:multiLevelType w:val="hybridMultilevel"/>
    <w:tmpl w:val="C76E4104"/>
    <w:lvl w:ilvl="0" w:tplc="BF967FF8">
      <w:start w:val="1"/>
      <w:numFmt w:val="decimal"/>
      <w:lvlText w:val="%1."/>
      <w:lvlJc w:val="left"/>
      <w:pPr>
        <w:tabs>
          <w:tab w:val="num" w:pos="720"/>
        </w:tabs>
        <w:ind w:left="720" w:hanging="360"/>
      </w:pPr>
      <w:rPr>
        <w:rFonts w:hint="default"/>
        <w:b/>
      </w:rPr>
    </w:lvl>
    <w:lvl w:ilvl="1" w:tplc="3D1CEBE0">
      <w:start w:val="1"/>
      <w:numFmt w:val="bullet"/>
      <w:lvlText w:val="•"/>
      <w:lvlJc w:val="left"/>
      <w:pPr>
        <w:tabs>
          <w:tab w:val="num" w:pos="1440"/>
        </w:tabs>
        <w:ind w:left="1440" w:hanging="360"/>
      </w:pPr>
      <w:rPr>
        <w:rFonts w:ascii="Arial" w:hAnsi="Arial" w:hint="default"/>
      </w:rPr>
    </w:lvl>
    <w:lvl w:ilvl="2" w:tplc="7428AEC2" w:tentative="1">
      <w:start w:val="1"/>
      <w:numFmt w:val="bullet"/>
      <w:lvlText w:val="•"/>
      <w:lvlJc w:val="left"/>
      <w:pPr>
        <w:tabs>
          <w:tab w:val="num" w:pos="2160"/>
        </w:tabs>
        <w:ind w:left="2160" w:hanging="360"/>
      </w:pPr>
      <w:rPr>
        <w:rFonts w:ascii="Arial" w:hAnsi="Arial" w:hint="default"/>
      </w:rPr>
    </w:lvl>
    <w:lvl w:ilvl="3" w:tplc="C01C763C" w:tentative="1">
      <w:start w:val="1"/>
      <w:numFmt w:val="bullet"/>
      <w:lvlText w:val="•"/>
      <w:lvlJc w:val="left"/>
      <w:pPr>
        <w:tabs>
          <w:tab w:val="num" w:pos="2880"/>
        </w:tabs>
        <w:ind w:left="2880" w:hanging="360"/>
      </w:pPr>
      <w:rPr>
        <w:rFonts w:ascii="Arial" w:hAnsi="Arial" w:hint="default"/>
      </w:rPr>
    </w:lvl>
    <w:lvl w:ilvl="4" w:tplc="652834DA" w:tentative="1">
      <w:start w:val="1"/>
      <w:numFmt w:val="bullet"/>
      <w:lvlText w:val="•"/>
      <w:lvlJc w:val="left"/>
      <w:pPr>
        <w:tabs>
          <w:tab w:val="num" w:pos="3600"/>
        </w:tabs>
        <w:ind w:left="3600" w:hanging="360"/>
      </w:pPr>
      <w:rPr>
        <w:rFonts w:ascii="Arial" w:hAnsi="Arial" w:hint="default"/>
      </w:rPr>
    </w:lvl>
    <w:lvl w:ilvl="5" w:tplc="ED768D2C" w:tentative="1">
      <w:start w:val="1"/>
      <w:numFmt w:val="bullet"/>
      <w:lvlText w:val="•"/>
      <w:lvlJc w:val="left"/>
      <w:pPr>
        <w:tabs>
          <w:tab w:val="num" w:pos="4320"/>
        </w:tabs>
        <w:ind w:left="4320" w:hanging="360"/>
      </w:pPr>
      <w:rPr>
        <w:rFonts w:ascii="Arial" w:hAnsi="Arial" w:hint="default"/>
      </w:rPr>
    </w:lvl>
    <w:lvl w:ilvl="6" w:tplc="745C7C92" w:tentative="1">
      <w:start w:val="1"/>
      <w:numFmt w:val="bullet"/>
      <w:lvlText w:val="•"/>
      <w:lvlJc w:val="left"/>
      <w:pPr>
        <w:tabs>
          <w:tab w:val="num" w:pos="5040"/>
        </w:tabs>
        <w:ind w:left="5040" w:hanging="360"/>
      </w:pPr>
      <w:rPr>
        <w:rFonts w:ascii="Arial" w:hAnsi="Arial" w:hint="default"/>
      </w:rPr>
    </w:lvl>
    <w:lvl w:ilvl="7" w:tplc="78889C9E" w:tentative="1">
      <w:start w:val="1"/>
      <w:numFmt w:val="bullet"/>
      <w:lvlText w:val="•"/>
      <w:lvlJc w:val="left"/>
      <w:pPr>
        <w:tabs>
          <w:tab w:val="num" w:pos="5760"/>
        </w:tabs>
        <w:ind w:left="5760" w:hanging="360"/>
      </w:pPr>
      <w:rPr>
        <w:rFonts w:ascii="Arial" w:hAnsi="Arial" w:hint="default"/>
      </w:rPr>
    </w:lvl>
    <w:lvl w:ilvl="8" w:tplc="CB4CC380" w:tentative="1">
      <w:start w:val="1"/>
      <w:numFmt w:val="bullet"/>
      <w:lvlText w:val="•"/>
      <w:lvlJc w:val="left"/>
      <w:pPr>
        <w:tabs>
          <w:tab w:val="num" w:pos="6480"/>
        </w:tabs>
        <w:ind w:left="6480" w:hanging="360"/>
      </w:pPr>
      <w:rPr>
        <w:rFonts w:ascii="Arial" w:hAnsi="Arial" w:hint="default"/>
      </w:rPr>
    </w:lvl>
  </w:abstractNum>
  <w:abstractNum w:abstractNumId="4">
    <w:nsid w:val="1373534B"/>
    <w:multiLevelType w:val="hybridMultilevel"/>
    <w:tmpl w:val="6C4E7308"/>
    <w:lvl w:ilvl="0" w:tplc="F4668C0E">
      <w:start w:val="1"/>
      <w:numFmt w:val="bullet"/>
      <w:lvlText w:val=""/>
      <w:lvlJc w:val="left"/>
      <w:pPr>
        <w:ind w:left="720" w:hanging="360"/>
      </w:pPr>
      <w:rPr>
        <w:rFonts w:ascii="Symbol" w:hAnsi="Symbol" w:hint="default"/>
        <w:color w:val="auto"/>
        <w:sz w:val="28"/>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85B14B4"/>
    <w:multiLevelType w:val="hybridMultilevel"/>
    <w:tmpl w:val="C046CB76"/>
    <w:lvl w:ilvl="0" w:tplc="9530BCBC">
      <w:start w:val="1"/>
      <w:numFmt w:val="bullet"/>
      <w:lvlText w:val=""/>
      <w:lvlJc w:val="left"/>
      <w:pPr>
        <w:ind w:left="720" w:hanging="360"/>
      </w:pPr>
      <w:rPr>
        <w:rFonts w:ascii="Symbol" w:hAnsi="Symbol" w:hint="default"/>
        <w:color w:val="auto"/>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ABE0660"/>
    <w:multiLevelType w:val="hybridMultilevel"/>
    <w:tmpl w:val="5F441AD2"/>
    <w:lvl w:ilvl="0" w:tplc="F4668C0E">
      <w:start w:val="1"/>
      <w:numFmt w:val="bullet"/>
      <w:lvlText w:val=""/>
      <w:lvlJc w:val="left"/>
      <w:pPr>
        <w:ind w:left="720" w:hanging="360"/>
      </w:pPr>
      <w:rPr>
        <w:rFonts w:ascii="Symbol" w:hAnsi="Symbol" w:hint="default"/>
        <w:color w:val="auto"/>
        <w:sz w:val="28"/>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D5B43C8"/>
    <w:multiLevelType w:val="hybridMultilevel"/>
    <w:tmpl w:val="D3D65E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D982ECD2">
      <w:start w:val="1"/>
      <w:numFmt w:val="lowerLetter"/>
      <w:lvlText w:val="%3)"/>
      <w:lvlJc w:val="left"/>
      <w:pPr>
        <w:ind w:left="2670" w:hanging="69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F2D0D89"/>
    <w:multiLevelType w:val="hybridMultilevel"/>
    <w:tmpl w:val="DB5CE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0CE7B7F"/>
    <w:multiLevelType w:val="hybridMultilevel"/>
    <w:tmpl w:val="5BFE75B8"/>
    <w:lvl w:ilvl="0" w:tplc="F4668C0E">
      <w:start w:val="1"/>
      <w:numFmt w:val="bullet"/>
      <w:lvlText w:val=""/>
      <w:lvlJc w:val="left"/>
      <w:pPr>
        <w:ind w:left="720" w:hanging="360"/>
      </w:pPr>
      <w:rPr>
        <w:rFonts w:ascii="Symbol" w:hAnsi="Symbol" w:hint="default"/>
        <w:color w:val="auto"/>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160789A"/>
    <w:multiLevelType w:val="hybridMultilevel"/>
    <w:tmpl w:val="173818F0"/>
    <w:lvl w:ilvl="0" w:tplc="9530BCBC">
      <w:start w:val="1"/>
      <w:numFmt w:val="bullet"/>
      <w:lvlText w:val=""/>
      <w:lvlJc w:val="left"/>
      <w:pPr>
        <w:ind w:left="720" w:hanging="360"/>
      </w:pPr>
      <w:rPr>
        <w:rFonts w:ascii="Symbol" w:hAnsi="Symbol" w:hint="default"/>
        <w:color w:val="auto"/>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7882495"/>
    <w:multiLevelType w:val="hybridMultilevel"/>
    <w:tmpl w:val="57804004"/>
    <w:lvl w:ilvl="0" w:tplc="641E2E88">
      <w:start w:val="1"/>
      <w:numFmt w:val="bullet"/>
      <w:lvlText w:val=""/>
      <w:lvlJc w:val="left"/>
      <w:pPr>
        <w:ind w:left="360" w:hanging="360"/>
      </w:pPr>
      <w:rPr>
        <w:rFonts w:ascii="Symbol" w:hAnsi="Symbol" w:hint="default"/>
        <w:sz w:val="12"/>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B782DC3"/>
    <w:multiLevelType w:val="hybridMultilevel"/>
    <w:tmpl w:val="976C7A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E3B26CC"/>
    <w:multiLevelType w:val="hybridMultilevel"/>
    <w:tmpl w:val="9B348828"/>
    <w:lvl w:ilvl="0" w:tplc="E3E66DDE">
      <w:start w:val="1"/>
      <w:numFmt w:val="upperLetter"/>
      <w:lvlText w:val="%1."/>
      <w:lvlJc w:val="left"/>
      <w:pPr>
        <w:tabs>
          <w:tab w:val="num" w:pos="720"/>
        </w:tabs>
        <w:ind w:left="720" w:hanging="360"/>
      </w:pPr>
      <w:rPr>
        <w:b/>
      </w:rPr>
    </w:lvl>
    <w:lvl w:ilvl="1" w:tplc="C99CDE66" w:tentative="1">
      <w:start w:val="1"/>
      <w:numFmt w:val="upperLetter"/>
      <w:lvlText w:val="%2."/>
      <w:lvlJc w:val="left"/>
      <w:pPr>
        <w:tabs>
          <w:tab w:val="num" w:pos="1440"/>
        </w:tabs>
        <w:ind w:left="1440" w:hanging="360"/>
      </w:pPr>
    </w:lvl>
    <w:lvl w:ilvl="2" w:tplc="6D3C0C72" w:tentative="1">
      <w:start w:val="1"/>
      <w:numFmt w:val="upperLetter"/>
      <w:lvlText w:val="%3."/>
      <w:lvlJc w:val="left"/>
      <w:pPr>
        <w:tabs>
          <w:tab w:val="num" w:pos="2160"/>
        </w:tabs>
        <w:ind w:left="2160" w:hanging="360"/>
      </w:pPr>
    </w:lvl>
    <w:lvl w:ilvl="3" w:tplc="C642756C" w:tentative="1">
      <w:start w:val="1"/>
      <w:numFmt w:val="upperLetter"/>
      <w:lvlText w:val="%4."/>
      <w:lvlJc w:val="left"/>
      <w:pPr>
        <w:tabs>
          <w:tab w:val="num" w:pos="2880"/>
        </w:tabs>
        <w:ind w:left="2880" w:hanging="360"/>
      </w:pPr>
    </w:lvl>
    <w:lvl w:ilvl="4" w:tplc="1ED66C16" w:tentative="1">
      <w:start w:val="1"/>
      <w:numFmt w:val="upperLetter"/>
      <w:lvlText w:val="%5."/>
      <w:lvlJc w:val="left"/>
      <w:pPr>
        <w:tabs>
          <w:tab w:val="num" w:pos="3600"/>
        </w:tabs>
        <w:ind w:left="3600" w:hanging="360"/>
      </w:pPr>
    </w:lvl>
    <w:lvl w:ilvl="5" w:tplc="062C0E3E" w:tentative="1">
      <w:start w:val="1"/>
      <w:numFmt w:val="upperLetter"/>
      <w:lvlText w:val="%6."/>
      <w:lvlJc w:val="left"/>
      <w:pPr>
        <w:tabs>
          <w:tab w:val="num" w:pos="4320"/>
        </w:tabs>
        <w:ind w:left="4320" w:hanging="360"/>
      </w:pPr>
    </w:lvl>
    <w:lvl w:ilvl="6" w:tplc="E6E802A6" w:tentative="1">
      <w:start w:val="1"/>
      <w:numFmt w:val="upperLetter"/>
      <w:lvlText w:val="%7."/>
      <w:lvlJc w:val="left"/>
      <w:pPr>
        <w:tabs>
          <w:tab w:val="num" w:pos="5040"/>
        </w:tabs>
        <w:ind w:left="5040" w:hanging="360"/>
      </w:pPr>
    </w:lvl>
    <w:lvl w:ilvl="7" w:tplc="E38877B6" w:tentative="1">
      <w:start w:val="1"/>
      <w:numFmt w:val="upperLetter"/>
      <w:lvlText w:val="%8."/>
      <w:lvlJc w:val="left"/>
      <w:pPr>
        <w:tabs>
          <w:tab w:val="num" w:pos="5760"/>
        </w:tabs>
        <w:ind w:left="5760" w:hanging="360"/>
      </w:pPr>
    </w:lvl>
    <w:lvl w:ilvl="8" w:tplc="04AED35C" w:tentative="1">
      <w:start w:val="1"/>
      <w:numFmt w:val="upperLetter"/>
      <w:lvlText w:val="%9."/>
      <w:lvlJc w:val="left"/>
      <w:pPr>
        <w:tabs>
          <w:tab w:val="num" w:pos="6480"/>
        </w:tabs>
        <w:ind w:left="6480" w:hanging="360"/>
      </w:pPr>
    </w:lvl>
  </w:abstractNum>
  <w:abstractNum w:abstractNumId="14">
    <w:nsid w:val="45DD003D"/>
    <w:multiLevelType w:val="hybridMultilevel"/>
    <w:tmpl w:val="8F228C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C7D2CC5"/>
    <w:multiLevelType w:val="hybridMultilevel"/>
    <w:tmpl w:val="6AF834BA"/>
    <w:lvl w:ilvl="0" w:tplc="2974D3FE">
      <w:start w:val="1"/>
      <w:numFmt w:val="lowerLetter"/>
      <w:lvlText w:val="%1)"/>
      <w:lvlJc w:val="left"/>
      <w:pPr>
        <w:ind w:left="988" w:hanging="705"/>
      </w:pPr>
      <w:rPr>
        <w:rFonts w:hint="default"/>
      </w:rPr>
    </w:lvl>
    <w:lvl w:ilvl="1" w:tplc="08160019" w:tentative="1">
      <w:start w:val="1"/>
      <w:numFmt w:val="lowerLetter"/>
      <w:lvlText w:val="%2."/>
      <w:lvlJc w:val="left"/>
      <w:pPr>
        <w:ind w:left="1723" w:hanging="360"/>
      </w:pPr>
    </w:lvl>
    <w:lvl w:ilvl="2" w:tplc="0816001B" w:tentative="1">
      <w:start w:val="1"/>
      <w:numFmt w:val="lowerRoman"/>
      <w:lvlText w:val="%3."/>
      <w:lvlJc w:val="right"/>
      <w:pPr>
        <w:ind w:left="2443" w:hanging="180"/>
      </w:pPr>
    </w:lvl>
    <w:lvl w:ilvl="3" w:tplc="0816000F" w:tentative="1">
      <w:start w:val="1"/>
      <w:numFmt w:val="decimal"/>
      <w:lvlText w:val="%4."/>
      <w:lvlJc w:val="left"/>
      <w:pPr>
        <w:ind w:left="3163" w:hanging="360"/>
      </w:pPr>
    </w:lvl>
    <w:lvl w:ilvl="4" w:tplc="08160019" w:tentative="1">
      <w:start w:val="1"/>
      <w:numFmt w:val="lowerLetter"/>
      <w:lvlText w:val="%5."/>
      <w:lvlJc w:val="left"/>
      <w:pPr>
        <w:ind w:left="3883" w:hanging="360"/>
      </w:pPr>
    </w:lvl>
    <w:lvl w:ilvl="5" w:tplc="0816001B" w:tentative="1">
      <w:start w:val="1"/>
      <w:numFmt w:val="lowerRoman"/>
      <w:lvlText w:val="%6."/>
      <w:lvlJc w:val="right"/>
      <w:pPr>
        <w:ind w:left="4603" w:hanging="180"/>
      </w:pPr>
    </w:lvl>
    <w:lvl w:ilvl="6" w:tplc="0816000F" w:tentative="1">
      <w:start w:val="1"/>
      <w:numFmt w:val="decimal"/>
      <w:lvlText w:val="%7."/>
      <w:lvlJc w:val="left"/>
      <w:pPr>
        <w:ind w:left="5323" w:hanging="360"/>
      </w:pPr>
    </w:lvl>
    <w:lvl w:ilvl="7" w:tplc="08160019" w:tentative="1">
      <w:start w:val="1"/>
      <w:numFmt w:val="lowerLetter"/>
      <w:lvlText w:val="%8."/>
      <w:lvlJc w:val="left"/>
      <w:pPr>
        <w:ind w:left="6043" w:hanging="360"/>
      </w:pPr>
    </w:lvl>
    <w:lvl w:ilvl="8" w:tplc="0816001B" w:tentative="1">
      <w:start w:val="1"/>
      <w:numFmt w:val="lowerRoman"/>
      <w:lvlText w:val="%9."/>
      <w:lvlJc w:val="right"/>
      <w:pPr>
        <w:ind w:left="6763" w:hanging="180"/>
      </w:pPr>
    </w:lvl>
  </w:abstractNum>
  <w:abstractNum w:abstractNumId="16">
    <w:nsid w:val="56C4531C"/>
    <w:multiLevelType w:val="hybridMultilevel"/>
    <w:tmpl w:val="3334D1E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58E756EC"/>
    <w:multiLevelType w:val="hybridMultilevel"/>
    <w:tmpl w:val="8EA25F9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98E5C31"/>
    <w:multiLevelType w:val="hybridMultilevel"/>
    <w:tmpl w:val="9D40152E"/>
    <w:lvl w:ilvl="0" w:tplc="ABCE9654">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CE2170B"/>
    <w:multiLevelType w:val="hybridMultilevel"/>
    <w:tmpl w:val="84485322"/>
    <w:lvl w:ilvl="0" w:tplc="F4668C0E">
      <w:start w:val="1"/>
      <w:numFmt w:val="bullet"/>
      <w:lvlText w:val=""/>
      <w:lvlJc w:val="left"/>
      <w:pPr>
        <w:ind w:left="1287" w:hanging="360"/>
      </w:pPr>
      <w:rPr>
        <w:rFonts w:ascii="Symbol" w:hAnsi="Symbol" w:hint="default"/>
        <w:color w:val="auto"/>
        <w:sz w:val="28"/>
        <w:szCs w:val="16"/>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0">
    <w:nsid w:val="5E0F2527"/>
    <w:multiLevelType w:val="hybridMultilevel"/>
    <w:tmpl w:val="2AA69CA4"/>
    <w:lvl w:ilvl="0" w:tplc="F4668C0E">
      <w:start w:val="1"/>
      <w:numFmt w:val="bullet"/>
      <w:lvlText w:val=""/>
      <w:lvlJc w:val="left"/>
      <w:pPr>
        <w:ind w:left="720" w:hanging="360"/>
      </w:pPr>
      <w:rPr>
        <w:rFonts w:ascii="Symbol" w:hAnsi="Symbol" w:hint="default"/>
        <w:color w:val="auto"/>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E3C6257"/>
    <w:multiLevelType w:val="hybridMultilevel"/>
    <w:tmpl w:val="07CA408A"/>
    <w:lvl w:ilvl="0" w:tplc="A382508C">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E511AAC"/>
    <w:multiLevelType w:val="hybridMultilevel"/>
    <w:tmpl w:val="9B348828"/>
    <w:lvl w:ilvl="0" w:tplc="E3E66DDE">
      <w:start w:val="1"/>
      <w:numFmt w:val="upperLetter"/>
      <w:lvlText w:val="%1."/>
      <w:lvlJc w:val="left"/>
      <w:pPr>
        <w:tabs>
          <w:tab w:val="num" w:pos="720"/>
        </w:tabs>
        <w:ind w:left="720" w:hanging="360"/>
      </w:pPr>
      <w:rPr>
        <w:b/>
      </w:rPr>
    </w:lvl>
    <w:lvl w:ilvl="1" w:tplc="C99CDE66" w:tentative="1">
      <w:start w:val="1"/>
      <w:numFmt w:val="upperLetter"/>
      <w:lvlText w:val="%2."/>
      <w:lvlJc w:val="left"/>
      <w:pPr>
        <w:tabs>
          <w:tab w:val="num" w:pos="1440"/>
        </w:tabs>
        <w:ind w:left="1440" w:hanging="360"/>
      </w:pPr>
    </w:lvl>
    <w:lvl w:ilvl="2" w:tplc="6D3C0C72" w:tentative="1">
      <w:start w:val="1"/>
      <w:numFmt w:val="upperLetter"/>
      <w:lvlText w:val="%3."/>
      <w:lvlJc w:val="left"/>
      <w:pPr>
        <w:tabs>
          <w:tab w:val="num" w:pos="2160"/>
        </w:tabs>
        <w:ind w:left="2160" w:hanging="360"/>
      </w:pPr>
    </w:lvl>
    <w:lvl w:ilvl="3" w:tplc="C642756C" w:tentative="1">
      <w:start w:val="1"/>
      <w:numFmt w:val="upperLetter"/>
      <w:lvlText w:val="%4."/>
      <w:lvlJc w:val="left"/>
      <w:pPr>
        <w:tabs>
          <w:tab w:val="num" w:pos="2880"/>
        </w:tabs>
        <w:ind w:left="2880" w:hanging="360"/>
      </w:pPr>
    </w:lvl>
    <w:lvl w:ilvl="4" w:tplc="1ED66C16" w:tentative="1">
      <w:start w:val="1"/>
      <w:numFmt w:val="upperLetter"/>
      <w:lvlText w:val="%5."/>
      <w:lvlJc w:val="left"/>
      <w:pPr>
        <w:tabs>
          <w:tab w:val="num" w:pos="3600"/>
        </w:tabs>
        <w:ind w:left="3600" w:hanging="360"/>
      </w:pPr>
    </w:lvl>
    <w:lvl w:ilvl="5" w:tplc="062C0E3E" w:tentative="1">
      <w:start w:val="1"/>
      <w:numFmt w:val="upperLetter"/>
      <w:lvlText w:val="%6."/>
      <w:lvlJc w:val="left"/>
      <w:pPr>
        <w:tabs>
          <w:tab w:val="num" w:pos="4320"/>
        </w:tabs>
        <w:ind w:left="4320" w:hanging="360"/>
      </w:pPr>
    </w:lvl>
    <w:lvl w:ilvl="6" w:tplc="E6E802A6" w:tentative="1">
      <w:start w:val="1"/>
      <w:numFmt w:val="upperLetter"/>
      <w:lvlText w:val="%7."/>
      <w:lvlJc w:val="left"/>
      <w:pPr>
        <w:tabs>
          <w:tab w:val="num" w:pos="5040"/>
        </w:tabs>
        <w:ind w:left="5040" w:hanging="360"/>
      </w:pPr>
    </w:lvl>
    <w:lvl w:ilvl="7" w:tplc="E38877B6" w:tentative="1">
      <w:start w:val="1"/>
      <w:numFmt w:val="upperLetter"/>
      <w:lvlText w:val="%8."/>
      <w:lvlJc w:val="left"/>
      <w:pPr>
        <w:tabs>
          <w:tab w:val="num" w:pos="5760"/>
        </w:tabs>
        <w:ind w:left="5760" w:hanging="360"/>
      </w:pPr>
    </w:lvl>
    <w:lvl w:ilvl="8" w:tplc="04AED35C" w:tentative="1">
      <w:start w:val="1"/>
      <w:numFmt w:val="upperLetter"/>
      <w:lvlText w:val="%9."/>
      <w:lvlJc w:val="left"/>
      <w:pPr>
        <w:tabs>
          <w:tab w:val="num" w:pos="6480"/>
        </w:tabs>
        <w:ind w:left="6480" w:hanging="360"/>
      </w:pPr>
    </w:lvl>
  </w:abstractNum>
  <w:abstractNum w:abstractNumId="23">
    <w:nsid w:val="5E5A6BAE"/>
    <w:multiLevelType w:val="hybridMultilevel"/>
    <w:tmpl w:val="8A2C4362"/>
    <w:lvl w:ilvl="0" w:tplc="700CFE2C">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33231B7"/>
    <w:multiLevelType w:val="hybridMultilevel"/>
    <w:tmpl w:val="CB04CF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4BA7448"/>
    <w:multiLevelType w:val="hybridMultilevel"/>
    <w:tmpl w:val="21D4073A"/>
    <w:lvl w:ilvl="0" w:tplc="B4387584">
      <w:start w:val="1"/>
      <w:numFmt w:val="bullet"/>
      <w:pStyle w:val="bulet"/>
      <w:lvlText w:val=""/>
      <w:lvlJc w:val="left"/>
      <w:pPr>
        <w:ind w:left="36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5053421"/>
    <w:multiLevelType w:val="hybridMultilevel"/>
    <w:tmpl w:val="377844C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7">
    <w:nsid w:val="699425AE"/>
    <w:multiLevelType w:val="hybridMultilevel"/>
    <w:tmpl w:val="431A8A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F1A178B"/>
    <w:multiLevelType w:val="hybridMultilevel"/>
    <w:tmpl w:val="291C98B0"/>
    <w:lvl w:ilvl="0" w:tplc="D3BEDF82">
      <w:start w:val="1"/>
      <w:numFmt w:val="upp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762422E1"/>
    <w:multiLevelType w:val="hybridMultilevel"/>
    <w:tmpl w:val="9B348828"/>
    <w:lvl w:ilvl="0" w:tplc="E3E66DDE">
      <w:start w:val="1"/>
      <w:numFmt w:val="upperLetter"/>
      <w:lvlText w:val="%1."/>
      <w:lvlJc w:val="left"/>
      <w:pPr>
        <w:tabs>
          <w:tab w:val="num" w:pos="720"/>
        </w:tabs>
        <w:ind w:left="720" w:hanging="360"/>
      </w:pPr>
      <w:rPr>
        <w:b/>
      </w:rPr>
    </w:lvl>
    <w:lvl w:ilvl="1" w:tplc="C99CDE66" w:tentative="1">
      <w:start w:val="1"/>
      <w:numFmt w:val="upperLetter"/>
      <w:lvlText w:val="%2."/>
      <w:lvlJc w:val="left"/>
      <w:pPr>
        <w:tabs>
          <w:tab w:val="num" w:pos="1440"/>
        </w:tabs>
        <w:ind w:left="1440" w:hanging="360"/>
      </w:pPr>
    </w:lvl>
    <w:lvl w:ilvl="2" w:tplc="6D3C0C72" w:tentative="1">
      <w:start w:val="1"/>
      <w:numFmt w:val="upperLetter"/>
      <w:lvlText w:val="%3."/>
      <w:lvlJc w:val="left"/>
      <w:pPr>
        <w:tabs>
          <w:tab w:val="num" w:pos="2160"/>
        </w:tabs>
        <w:ind w:left="2160" w:hanging="360"/>
      </w:pPr>
    </w:lvl>
    <w:lvl w:ilvl="3" w:tplc="C642756C" w:tentative="1">
      <w:start w:val="1"/>
      <w:numFmt w:val="upperLetter"/>
      <w:lvlText w:val="%4."/>
      <w:lvlJc w:val="left"/>
      <w:pPr>
        <w:tabs>
          <w:tab w:val="num" w:pos="2880"/>
        </w:tabs>
        <w:ind w:left="2880" w:hanging="360"/>
      </w:pPr>
    </w:lvl>
    <w:lvl w:ilvl="4" w:tplc="1ED66C16" w:tentative="1">
      <w:start w:val="1"/>
      <w:numFmt w:val="upperLetter"/>
      <w:lvlText w:val="%5."/>
      <w:lvlJc w:val="left"/>
      <w:pPr>
        <w:tabs>
          <w:tab w:val="num" w:pos="3600"/>
        </w:tabs>
        <w:ind w:left="3600" w:hanging="360"/>
      </w:pPr>
    </w:lvl>
    <w:lvl w:ilvl="5" w:tplc="062C0E3E" w:tentative="1">
      <w:start w:val="1"/>
      <w:numFmt w:val="upperLetter"/>
      <w:lvlText w:val="%6."/>
      <w:lvlJc w:val="left"/>
      <w:pPr>
        <w:tabs>
          <w:tab w:val="num" w:pos="4320"/>
        </w:tabs>
        <w:ind w:left="4320" w:hanging="360"/>
      </w:pPr>
    </w:lvl>
    <w:lvl w:ilvl="6" w:tplc="E6E802A6" w:tentative="1">
      <w:start w:val="1"/>
      <w:numFmt w:val="upperLetter"/>
      <w:lvlText w:val="%7."/>
      <w:lvlJc w:val="left"/>
      <w:pPr>
        <w:tabs>
          <w:tab w:val="num" w:pos="5040"/>
        </w:tabs>
        <w:ind w:left="5040" w:hanging="360"/>
      </w:pPr>
    </w:lvl>
    <w:lvl w:ilvl="7" w:tplc="E38877B6" w:tentative="1">
      <w:start w:val="1"/>
      <w:numFmt w:val="upperLetter"/>
      <w:lvlText w:val="%8."/>
      <w:lvlJc w:val="left"/>
      <w:pPr>
        <w:tabs>
          <w:tab w:val="num" w:pos="5760"/>
        </w:tabs>
        <w:ind w:left="5760" w:hanging="360"/>
      </w:pPr>
    </w:lvl>
    <w:lvl w:ilvl="8" w:tplc="04AED35C" w:tentative="1">
      <w:start w:val="1"/>
      <w:numFmt w:val="upperLetter"/>
      <w:lvlText w:val="%9."/>
      <w:lvlJc w:val="left"/>
      <w:pPr>
        <w:tabs>
          <w:tab w:val="num" w:pos="6480"/>
        </w:tabs>
        <w:ind w:left="6480" w:hanging="360"/>
      </w:pPr>
    </w:lvl>
  </w:abstractNum>
  <w:abstractNum w:abstractNumId="30">
    <w:nsid w:val="7AD93ABD"/>
    <w:multiLevelType w:val="hybridMultilevel"/>
    <w:tmpl w:val="40601198"/>
    <w:lvl w:ilvl="0" w:tplc="F4668C0E">
      <w:start w:val="1"/>
      <w:numFmt w:val="bullet"/>
      <w:lvlText w:val=""/>
      <w:lvlJc w:val="left"/>
      <w:pPr>
        <w:ind w:left="720" w:hanging="360"/>
      </w:pPr>
      <w:rPr>
        <w:rFonts w:ascii="Symbol" w:hAnsi="Symbol" w:hint="default"/>
        <w:color w:val="auto"/>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5"/>
  </w:num>
  <w:num w:numId="4">
    <w:abstractNumId w:val="16"/>
  </w:num>
  <w:num w:numId="5">
    <w:abstractNumId w:val="21"/>
  </w:num>
  <w:num w:numId="6">
    <w:abstractNumId w:val="17"/>
  </w:num>
  <w:num w:numId="7">
    <w:abstractNumId w:val="0"/>
  </w:num>
  <w:num w:numId="8">
    <w:abstractNumId w:val="25"/>
  </w:num>
  <w:num w:numId="9">
    <w:abstractNumId w:val="19"/>
  </w:num>
  <w:num w:numId="10">
    <w:abstractNumId w:val="2"/>
  </w:num>
  <w:num w:numId="11">
    <w:abstractNumId w:val="26"/>
  </w:num>
  <w:num w:numId="12">
    <w:abstractNumId w:val="14"/>
  </w:num>
  <w:num w:numId="13">
    <w:abstractNumId w:val="7"/>
  </w:num>
  <w:num w:numId="14">
    <w:abstractNumId w:val="1"/>
  </w:num>
  <w:num w:numId="15">
    <w:abstractNumId w:val="13"/>
  </w:num>
  <w:num w:numId="16">
    <w:abstractNumId w:val="29"/>
  </w:num>
  <w:num w:numId="17">
    <w:abstractNumId w:val="23"/>
  </w:num>
  <w:num w:numId="18">
    <w:abstractNumId w:val="11"/>
  </w:num>
  <w:num w:numId="19">
    <w:abstractNumId w:val="8"/>
  </w:num>
  <w:num w:numId="20">
    <w:abstractNumId w:val="27"/>
  </w:num>
  <w:num w:numId="21">
    <w:abstractNumId w:val="12"/>
  </w:num>
  <w:num w:numId="22">
    <w:abstractNumId w:val="9"/>
  </w:num>
  <w:num w:numId="23">
    <w:abstractNumId w:val="6"/>
  </w:num>
  <w:num w:numId="24">
    <w:abstractNumId w:val="28"/>
  </w:num>
  <w:num w:numId="25">
    <w:abstractNumId w:val="24"/>
  </w:num>
  <w:num w:numId="26">
    <w:abstractNumId w:val="18"/>
  </w:num>
  <w:num w:numId="27">
    <w:abstractNumId w:val="4"/>
  </w:num>
  <w:num w:numId="28">
    <w:abstractNumId w:val="20"/>
  </w:num>
  <w:num w:numId="29">
    <w:abstractNumId w:val="30"/>
  </w:num>
  <w:num w:numId="30">
    <w:abstractNumId w:val="5"/>
  </w:num>
  <w:num w:numId="31">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driana Borges Moniz">
    <w15:presenceInfo w15:providerId="AD" w15:userId="S-1-5-21-1123561945-329068152-682003330-26370"/>
  </w15:person>
  <w15:person w15:author="Maria Adriana Borges Moniz [2]">
    <w15:presenceInfo w15:providerId="AD" w15:userId="S-1-5-21-1123561945-329068152-682003330-26370"/>
  </w15:person>
  <w15:person w15:author="Maria Adriana Borges Moniz [3]">
    <w15:presenceInfo w15:providerId="AD" w15:userId="S-1-5-21-1123561945-329068152-682003330-26370"/>
  </w15:person>
  <w15:person w15:author="Maria Adriana Borges Moniz [4]">
    <w15:presenceInfo w15:providerId="AD" w15:userId="S-1-5-21-1123561945-329068152-682003330-26370"/>
  </w15:person>
  <w15:person w15:author="Maria Adriana Borges Moniz [5]">
    <w15:presenceInfo w15:providerId="AD" w15:userId="S-1-5-21-1123561945-329068152-682003330-26370"/>
  </w15:person>
  <w15:person w15:author="Maria Adriana Borges Moniz [6]">
    <w15:presenceInfo w15:providerId="AD" w15:userId="S-1-5-21-1123561945-329068152-682003330-26370"/>
  </w15:person>
  <w15:person w15:author="Maria Adriana Borges Moniz [7]">
    <w15:presenceInfo w15:providerId="AD" w15:userId="S-1-5-21-1123561945-329068152-682003330-26370"/>
  </w15:person>
  <w15:person w15:author="Maria Adriana Borges Moniz [8]">
    <w15:presenceInfo w15:providerId="AD" w15:userId="S-1-5-21-1123561945-329068152-682003330-26370"/>
  </w15:person>
  <w15:person w15:author="Maria Adriana Borges Moniz [9]">
    <w15:presenceInfo w15:providerId="AD" w15:userId="S-1-5-21-1123561945-329068152-682003330-26370"/>
  </w15:person>
  <w15:person w15:author="Maria Adriana Borges Moniz [10]">
    <w15:presenceInfo w15:providerId="AD" w15:userId="S-1-5-21-1123561945-329068152-682003330-26370"/>
  </w15:person>
  <w15:person w15:author="Maria Adriana Borges Moniz [11]">
    <w15:presenceInfo w15:providerId="AD" w15:userId="S-1-5-21-1123561945-329068152-682003330-26370"/>
  </w15:person>
  <w15:person w15:author="Maria Adriana Borges Moniz [14]">
    <w15:presenceInfo w15:providerId="AD" w15:userId="S-1-5-21-1123561945-329068152-682003330-26370"/>
  </w15:person>
  <w15:person w15:author="Maria Adriana Borges Moniz [12]">
    <w15:presenceInfo w15:providerId="AD" w15:userId="S-1-5-21-1123561945-329068152-682003330-26370"/>
  </w15:person>
  <w15:person w15:author="Maria Adriana Borges Moniz [15]">
    <w15:presenceInfo w15:providerId="AD" w15:userId="S-1-5-21-1123561945-329068152-682003330-26370"/>
  </w15:person>
  <w15:person w15:author="Maria Adriana Borges Moniz [16]">
    <w15:presenceInfo w15:providerId="AD" w15:userId="S-1-5-21-1123561945-329068152-682003330-26370"/>
  </w15:person>
  <w15:person w15:author="Maria Adriana Borges Moniz [17]">
    <w15:presenceInfo w15:providerId="AD" w15:userId="S-1-5-21-1123561945-329068152-682003330-26370"/>
  </w15:person>
  <w15:person w15:author="Maria Adriana Borges Moniz [13]">
    <w15:presenceInfo w15:providerId="AD" w15:userId="S-1-5-21-1123561945-329068152-682003330-26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3C"/>
    <w:rsid w:val="00000C17"/>
    <w:rsid w:val="00004978"/>
    <w:rsid w:val="00012E92"/>
    <w:rsid w:val="00015C9A"/>
    <w:rsid w:val="00022E5C"/>
    <w:rsid w:val="00024FB3"/>
    <w:rsid w:val="000265BB"/>
    <w:rsid w:val="00027997"/>
    <w:rsid w:val="0003222B"/>
    <w:rsid w:val="00032A36"/>
    <w:rsid w:val="00034919"/>
    <w:rsid w:val="00040B17"/>
    <w:rsid w:val="00047D2C"/>
    <w:rsid w:val="00051407"/>
    <w:rsid w:val="0005342E"/>
    <w:rsid w:val="00053987"/>
    <w:rsid w:val="000714FB"/>
    <w:rsid w:val="00074FE0"/>
    <w:rsid w:val="000903BF"/>
    <w:rsid w:val="000A3143"/>
    <w:rsid w:val="000A4834"/>
    <w:rsid w:val="000A66FC"/>
    <w:rsid w:val="000A67CC"/>
    <w:rsid w:val="000B1044"/>
    <w:rsid w:val="000B437A"/>
    <w:rsid w:val="000B4BDE"/>
    <w:rsid w:val="000C65A8"/>
    <w:rsid w:val="000E4D86"/>
    <w:rsid w:val="000E6CBD"/>
    <w:rsid w:val="00101237"/>
    <w:rsid w:val="00101C4B"/>
    <w:rsid w:val="00101D48"/>
    <w:rsid w:val="00102EA4"/>
    <w:rsid w:val="001146A4"/>
    <w:rsid w:val="00115425"/>
    <w:rsid w:val="00120A32"/>
    <w:rsid w:val="0013414C"/>
    <w:rsid w:val="00144E28"/>
    <w:rsid w:val="001453FC"/>
    <w:rsid w:val="00147BA6"/>
    <w:rsid w:val="00157D26"/>
    <w:rsid w:val="00165890"/>
    <w:rsid w:val="00186103"/>
    <w:rsid w:val="0019186D"/>
    <w:rsid w:val="00197F87"/>
    <w:rsid w:val="001A3334"/>
    <w:rsid w:val="001B461D"/>
    <w:rsid w:val="001C72BC"/>
    <w:rsid w:val="001C76AC"/>
    <w:rsid w:val="001D253F"/>
    <w:rsid w:val="001D7487"/>
    <w:rsid w:val="001E2947"/>
    <w:rsid w:val="00213722"/>
    <w:rsid w:val="00213E97"/>
    <w:rsid w:val="002225B4"/>
    <w:rsid w:val="00224E15"/>
    <w:rsid w:val="002274E9"/>
    <w:rsid w:val="00235501"/>
    <w:rsid w:val="00235CA8"/>
    <w:rsid w:val="00241930"/>
    <w:rsid w:val="00242960"/>
    <w:rsid w:val="002436D2"/>
    <w:rsid w:val="00247BBD"/>
    <w:rsid w:val="0025161E"/>
    <w:rsid w:val="0025218F"/>
    <w:rsid w:val="002526A1"/>
    <w:rsid w:val="00261A9D"/>
    <w:rsid w:val="00263C07"/>
    <w:rsid w:val="002662D2"/>
    <w:rsid w:val="00267158"/>
    <w:rsid w:val="00274362"/>
    <w:rsid w:val="002907B5"/>
    <w:rsid w:val="002B1D4F"/>
    <w:rsid w:val="002C20E5"/>
    <w:rsid w:val="002C3B4E"/>
    <w:rsid w:val="002D5E0E"/>
    <w:rsid w:val="002E1463"/>
    <w:rsid w:val="002E164E"/>
    <w:rsid w:val="002E4AF6"/>
    <w:rsid w:val="002E5022"/>
    <w:rsid w:val="002F2788"/>
    <w:rsid w:val="002F5B39"/>
    <w:rsid w:val="003006C2"/>
    <w:rsid w:val="00301EB4"/>
    <w:rsid w:val="003075DE"/>
    <w:rsid w:val="00317CD3"/>
    <w:rsid w:val="00322153"/>
    <w:rsid w:val="00331BFA"/>
    <w:rsid w:val="003402E7"/>
    <w:rsid w:val="0034718F"/>
    <w:rsid w:val="0035254B"/>
    <w:rsid w:val="00354811"/>
    <w:rsid w:val="00355C69"/>
    <w:rsid w:val="003567DD"/>
    <w:rsid w:val="00360717"/>
    <w:rsid w:val="00363347"/>
    <w:rsid w:val="003A320B"/>
    <w:rsid w:val="003C15F5"/>
    <w:rsid w:val="003D41C4"/>
    <w:rsid w:val="003D435F"/>
    <w:rsid w:val="003E5944"/>
    <w:rsid w:val="003F02CE"/>
    <w:rsid w:val="003F55B3"/>
    <w:rsid w:val="003F620A"/>
    <w:rsid w:val="003F75F2"/>
    <w:rsid w:val="003F7A9E"/>
    <w:rsid w:val="00400C32"/>
    <w:rsid w:val="00402465"/>
    <w:rsid w:val="00423452"/>
    <w:rsid w:val="00432989"/>
    <w:rsid w:val="00435AB6"/>
    <w:rsid w:val="00437591"/>
    <w:rsid w:val="00437A46"/>
    <w:rsid w:val="00441DA4"/>
    <w:rsid w:val="00442659"/>
    <w:rsid w:val="004519E6"/>
    <w:rsid w:val="00454F2B"/>
    <w:rsid w:val="00462ADE"/>
    <w:rsid w:val="00464C0F"/>
    <w:rsid w:val="004707DC"/>
    <w:rsid w:val="00476FEC"/>
    <w:rsid w:val="00481C88"/>
    <w:rsid w:val="00487406"/>
    <w:rsid w:val="00495381"/>
    <w:rsid w:val="00497867"/>
    <w:rsid w:val="004A4100"/>
    <w:rsid w:val="004A525D"/>
    <w:rsid w:val="004A59F3"/>
    <w:rsid w:val="004C5509"/>
    <w:rsid w:val="004C62C5"/>
    <w:rsid w:val="004E0805"/>
    <w:rsid w:val="004F2575"/>
    <w:rsid w:val="00512AB7"/>
    <w:rsid w:val="00512E2E"/>
    <w:rsid w:val="00513563"/>
    <w:rsid w:val="005275EC"/>
    <w:rsid w:val="00530B4E"/>
    <w:rsid w:val="00532E66"/>
    <w:rsid w:val="005360DC"/>
    <w:rsid w:val="00536D81"/>
    <w:rsid w:val="00540A59"/>
    <w:rsid w:val="00556809"/>
    <w:rsid w:val="00556A4C"/>
    <w:rsid w:val="00557F44"/>
    <w:rsid w:val="005659B4"/>
    <w:rsid w:val="00566FF9"/>
    <w:rsid w:val="005711AD"/>
    <w:rsid w:val="005745A7"/>
    <w:rsid w:val="00580971"/>
    <w:rsid w:val="005877B3"/>
    <w:rsid w:val="005A39C5"/>
    <w:rsid w:val="005B1D38"/>
    <w:rsid w:val="005C2677"/>
    <w:rsid w:val="005C3622"/>
    <w:rsid w:val="005C6A2F"/>
    <w:rsid w:val="005D282E"/>
    <w:rsid w:val="005D7146"/>
    <w:rsid w:val="005D73A8"/>
    <w:rsid w:val="005D73CC"/>
    <w:rsid w:val="005E5801"/>
    <w:rsid w:val="005F015B"/>
    <w:rsid w:val="00600E82"/>
    <w:rsid w:val="00603557"/>
    <w:rsid w:val="0060531D"/>
    <w:rsid w:val="00605B66"/>
    <w:rsid w:val="00606BC9"/>
    <w:rsid w:val="006070C1"/>
    <w:rsid w:val="006149AA"/>
    <w:rsid w:val="00616014"/>
    <w:rsid w:val="00617A04"/>
    <w:rsid w:val="006270A7"/>
    <w:rsid w:val="006428AC"/>
    <w:rsid w:val="00647A3D"/>
    <w:rsid w:val="00650E96"/>
    <w:rsid w:val="00656C96"/>
    <w:rsid w:val="00660E7C"/>
    <w:rsid w:val="00662299"/>
    <w:rsid w:val="0066469C"/>
    <w:rsid w:val="00666781"/>
    <w:rsid w:val="0068238F"/>
    <w:rsid w:val="006847AF"/>
    <w:rsid w:val="006868C4"/>
    <w:rsid w:val="00690327"/>
    <w:rsid w:val="0069285B"/>
    <w:rsid w:val="00693AC5"/>
    <w:rsid w:val="006969BE"/>
    <w:rsid w:val="00697259"/>
    <w:rsid w:val="006A1276"/>
    <w:rsid w:val="006A1E57"/>
    <w:rsid w:val="006A2F34"/>
    <w:rsid w:val="006A7F12"/>
    <w:rsid w:val="006B0311"/>
    <w:rsid w:val="006B2EBA"/>
    <w:rsid w:val="006C7EC5"/>
    <w:rsid w:val="006D168B"/>
    <w:rsid w:val="006D336A"/>
    <w:rsid w:val="006D3BC4"/>
    <w:rsid w:val="006D4FF5"/>
    <w:rsid w:val="006F0715"/>
    <w:rsid w:val="006F660C"/>
    <w:rsid w:val="006F72B8"/>
    <w:rsid w:val="00710052"/>
    <w:rsid w:val="00712A44"/>
    <w:rsid w:val="00713543"/>
    <w:rsid w:val="007166C2"/>
    <w:rsid w:val="00717081"/>
    <w:rsid w:val="00717B03"/>
    <w:rsid w:val="007200E3"/>
    <w:rsid w:val="00725513"/>
    <w:rsid w:val="00731811"/>
    <w:rsid w:val="0073270B"/>
    <w:rsid w:val="00743929"/>
    <w:rsid w:val="0074763F"/>
    <w:rsid w:val="00751C61"/>
    <w:rsid w:val="00751F17"/>
    <w:rsid w:val="00756EE1"/>
    <w:rsid w:val="0076420E"/>
    <w:rsid w:val="00766326"/>
    <w:rsid w:val="007702AC"/>
    <w:rsid w:val="00774C9B"/>
    <w:rsid w:val="007864A0"/>
    <w:rsid w:val="00786E80"/>
    <w:rsid w:val="007A0F15"/>
    <w:rsid w:val="007A331F"/>
    <w:rsid w:val="007B44BF"/>
    <w:rsid w:val="007C3B69"/>
    <w:rsid w:val="007C4263"/>
    <w:rsid w:val="007E202C"/>
    <w:rsid w:val="007E2ABC"/>
    <w:rsid w:val="007E6B23"/>
    <w:rsid w:val="007F7CA6"/>
    <w:rsid w:val="00800987"/>
    <w:rsid w:val="00803A2E"/>
    <w:rsid w:val="008059BF"/>
    <w:rsid w:val="00806E5A"/>
    <w:rsid w:val="00811371"/>
    <w:rsid w:val="0083052C"/>
    <w:rsid w:val="0083083D"/>
    <w:rsid w:val="00835F3E"/>
    <w:rsid w:val="00846D32"/>
    <w:rsid w:val="00846E35"/>
    <w:rsid w:val="00856CC4"/>
    <w:rsid w:val="00864B58"/>
    <w:rsid w:val="00866D74"/>
    <w:rsid w:val="00882D0D"/>
    <w:rsid w:val="00883639"/>
    <w:rsid w:val="0088447B"/>
    <w:rsid w:val="008873FF"/>
    <w:rsid w:val="0088771A"/>
    <w:rsid w:val="0089314C"/>
    <w:rsid w:val="008943EC"/>
    <w:rsid w:val="008A4E2C"/>
    <w:rsid w:val="008A6163"/>
    <w:rsid w:val="008A62A4"/>
    <w:rsid w:val="008C212B"/>
    <w:rsid w:val="008E25C4"/>
    <w:rsid w:val="008E34D4"/>
    <w:rsid w:val="008E7253"/>
    <w:rsid w:val="008F1164"/>
    <w:rsid w:val="008F1C4F"/>
    <w:rsid w:val="008F1D19"/>
    <w:rsid w:val="008F2BEC"/>
    <w:rsid w:val="008F7CBD"/>
    <w:rsid w:val="008F7D41"/>
    <w:rsid w:val="009005C9"/>
    <w:rsid w:val="0090219F"/>
    <w:rsid w:val="00921038"/>
    <w:rsid w:val="0092329C"/>
    <w:rsid w:val="0092689D"/>
    <w:rsid w:val="00927693"/>
    <w:rsid w:val="00933481"/>
    <w:rsid w:val="00942DCB"/>
    <w:rsid w:val="00944D2F"/>
    <w:rsid w:val="00947344"/>
    <w:rsid w:val="00953284"/>
    <w:rsid w:val="0095344E"/>
    <w:rsid w:val="00956105"/>
    <w:rsid w:val="0096259C"/>
    <w:rsid w:val="00980869"/>
    <w:rsid w:val="009903E8"/>
    <w:rsid w:val="009929F9"/>
    <w:rsid w:val="009A7167"/>
    <w:rsid w:val="009B5DF0"/>
    <w:rsid w:val="009B799C"/>
    <w:rsid w:val="009C0DD0"/>
    <w:rsid w:val="009E1871"/>
    <w:rsid w:val="009E28D5"/>
    <w:rsid w:val="009F0C1D"/>
    <w:rsid w:val="009F1D69"/>
    <w:rsid w:val="009F6A3E"/>
    <w:rsid w:val="00A0347E"/>
    <w:rsid w:val="00A2067E"/>
    <w:rsid w:val="00A211D8"/>
    <w:rsid w:val="00A2660B"/>
    <w:rsid w:val="00A35D14"/>
    <w:rsid w:val="00A40057"/>
    <w:rsid w:val="00A40CCB"/>
    <w:rsid w:val="00A427B1"/>
    <w:rsid w:val="00A4395F"/>
    <w:rsid w:val="00A5286E"/>
    <w:rsid w:val="00A5353F"/>
    <w:rsid w:val="00A55172"/>
    <w:rsid w:val="00A70463"/>
    <w:rsid w:val="00A7335C"/>
    <w:rsid w:val="00A76547"/>
    <w:rsid w:val="00A83CA4"/>
    <w:rsid w:val="00A8541F"/>
    <w:rsid w:val="00A855C8"/>
    <w:rsid w:val="00A92116"/>
    <w:rsid w:val="00AA5BC2"/>
    <w:rsid w:val="00AB1B26"/>
    <w:rsid w:val="00AB7A68"/>
    <w:rsid w:val="00AC0F70"/>
    <w:rsid w:val="00AC1781"/>
    <w:rsid w:val="00AC24C6"/>
    <w:rsid w:val="00AC40F9"/>
    <w:rsid w:val="00AC464A"/>
    <w:rsid w:val="00AC5DFE"/>
    <w:rsid w:val="00AC6D55"/>
    <w:rsid w:val="00AC7F6E"/>
    <w:rsid w:val="00AD1ED5"/>
    <w:rsid w:val="00AE4CD0"/>
    <w:rsid w:val="00B12AC7"/>
    <w:rsid w:val="00B16517"/>
    <w:rsid w:val="00B23D16"/>
    <w:rsid w:val="00B24E22"/>
    <w:rsid w:val="00B26798"/>
    <w:rsid w:val="00B3135F"/>
    <w:rsid w:val="00B417ED"/>
    <w:rsid w:val="00B42E6F"/>
    <w:rsid w:val="00B46F28"/>
    <w:rsid w:val="00B47FEC"/>
    <w:rsid w:val="00B61579"/>
    <w:rsid w:val="00B625DD"/>
    <w:rsid w:val="00B6328B"/>
    <w:rsid w:val="00B67116"/>
    <w:rsid w:val="00B743D4"/>
    <w:rsid w:val="00B75FD8"/>
    <w:rsid w:val="00B86B71"/>
    <w:rsid w:val="00B901B1"/>
    <w:rsid w:val="00B9135C"/>
    <w:rsid w:val="00B91951"/>
    <w:rsid w:val="00B929CE"/>
    <w:rsid w:val="00B93A05"/>
    <w:rsid w:val="00B95B33"/>
    <w:rsid w:val="00BA14F4"/>
    <w:rsid w:val="00BB09FD"/>
    <w:rsid w:val="00BB42ED"/>
    <w:rsid w:val="00BB47CD"/>
    <w:rsid w:val="00BB5692"/>
    <w:rsid w:val="00BB76A7"/>
    <w:rsid w:val="00BB7C96"/>
    <w:rsid w:val="00BC3356"/>
    <w:rsid w:val="00BC50C8"/>
    <w:rsid w:val="00BC558A"/>
    <w:rsid w:val="00BC5A19"/>
    <w:rsid w:val="00BD0986"/>
    <w:rsid w:val="00BD19C0"/>
    <w:rsid w:val="00BD2ED3"/>
    <w:rsid w:val="00BD4CA4"/>
    <w:rsid w:val="00BF152B"/>
    <w:rsid w:val="00C01148"/>
    <w:rsid w:val="00C02334"/>
    <w:rsid w:val="00C0298C"/>
    <w:rsid w:val="00C05C3C"/>
    <w:rsid w:val="00C1081E"/>
    <w:rsid w:val="00C162D3"/>
    <w:rsid w:val="00C22FFC"/>
    <w:rsid w:val="00C27DD7"/>
    <w:rsid w:val="00C307AE"/>
    <w:rsid w:val="00C3270B"/>
    <w:rsid w:val="00C446D4"/>
    <w:rsid w:val="00C472C9"/>
    <w:rsid w:val="00C54169"/>
    <w:rsid w:val="00C574E7"/>
    <w:rsid w:val="00C627AA"/>
    <w:rsid w:val="00C66189"/>
    <w:rsid w:val="00C67A5D"/>
    <w:rsid w:val="00C874E4"/>
    <w:rsid w:val="00C97C4F"/>
    <w:rsid w:val="00CB205A"/>
    <w:rsid w:val="00CC06E0"/>
    <w:rsid w:val="00CC79F9"/>
    <w:rsid w:val="00CD217E"/>
    <w:rsid w:val="00CD34DF"/>
    <w:rsid w:val="00CD3682"/>
    <w:rsid w:val="00CE1E75"/>
    <w:rsid w:val="00CE232A"/>
    <w:rsid w:val="00D0633B"/>
    <w:rsid w:val="00D2019A"/>
    <w:rsid w:val="00D26EAB"/>
    <w:rsid w:val="00D4240B"/>
    <w:rsid w:val="00D46FFF"/>
    <w:rsid w:val="00D567F9"/>
    <w:rsid w:val="00D57D4C"/>
    <w:rsid w:val="00D60629"/>
    <w:rsid w:val="00D62461"/>
    <w:rsid w:val="00D64025"/>
    <w:rsid w:val="00D73F0F"/>
    <w:rsid w:val="00D837B9"/>
    <w:rsid w:val="00D91FA5"/>
    <w:rsid w:val="00D92380"/>
    <w:rsid w:val="00D93883"/>
    <w:rsid w:val="00D97A4C"/>
    <w:rsid w:val="00DA1553"/>
    <w:rsid w:val="00DA4388"/>
    <w:rsid w:val="00DA4AC5"/>
    <w:rsid w:val="00DA60A4"/>
    <w:rsid w:val="00DA7654"/>
    <w:rsid w:val="00DB0325"/>
    <w:rsid w:val="00DB28D9"/>
    <w:rsid w:val="00DB4946"/>
    <w:rsid w:val="00DC5096"/>
    <w:rsid w:val="00DD3FA8"/>
    <w:rsid w:val="00DD6168"/>
    <w:rsid w:val="00DD726A"/>
    <w:rsid w:val="00DE2EFF"/>
    <w:rsid w:val="00DF435F"/>
    <w:rsid w:val="00DF6C8B"/>
    <w:rsid w:val="00E00B76"/>
    <w:rsid w:val="00E05A45"/>
    <w:rsid w:val="00E06925"/>
    <w:rsid w:val="00E126E3"/>
    <w:rsid w:val="00E16982"/>
    <w:rsid w:val="00E16CF8"/>
    <w:rsid w:val="00E20820"/>
    <w:rsid w:val="00E212BC"/>
    <w:rsid w:val="00E30B48"/>
    <w:rsid w:val="00E33206"/>
    <w:rsid w:val="00E41E1F"/>
    <w:rsid w:val="00E4279F"/>
    <w:rsid w:val="00E5235B"/>
    <w:rsid w:val="00E54454"/>
    <w:rsid w:val="00E56B81"/>
    <w:rsid w:val="00E630DB"/>
    <w:rsid w:val="00E70C18"/>
    <w:rsid w:val="00E70DA2"/>
    <w:rsid w:val="00E76E30"/>
    <w:rsid w:val="00E80B3E"/>
    <w:rsid w:val="00E835D1"/>
    <w:rsid w:val="00E8450A"/>
    <w:rsid w:val="00EA4032"/>
    <w:rsid w:val="00EB30A0"/>
    <w:rsid w:val="00EB55CE"/>
    <w:rsid w:val="00ED0436"/>
    <w:rsid w:val="00ED1F4B"/>
    <w:rsid w:val="00ED2338"/>
    <w:rsid w:val="00ED298D"/>
    <w:rsid w:val="00ED5FEE"/>
    <w:rsid w:val="00EE15BA"/>
    <w:rsid w:val="00EE31B7"/>
    <w:rsid w:val="00EF08F6"/>
    <w:rsid w:val="00EF3297"/>
    <w:rsid w:val="00EF4290"/>
    <w:rsid w:val="00EF7C4F"/>
    <w:rsid w:val="00F001F1"/>
    <w:rsid w:val="00F03087"/>
    <w:rsid w:val="00F0381A"/>
    <w:rsid w:val="00F0709C"/>
    <w:rsid w:val="00F1524E"/>
    <w:rsid w:val="00F16966"/>
    <w:rsid w:val="00F17387"/>
    <w:rsid w:val="00F3795A"/>
    <w:rsid w:val="00F43849"/>
    <w:rsid w:val="00F44574"/>
    <w:rsid w:val="00F4681F"/>
    <w:rsid w:val="00F56F3C"/>
    <w:rsid w:val="00F61144"/>
    <w:rsid w:val="00F63A63"/>
    <w:rsid w:val="00F659FE"/>
    <w:rsid w:val="00F668E8"/>
    <w:rsid w:val="00F75F4D"/>
    <w:rsid w:val="00F80397"/>
    <w:rsid w:val="00F82364"/>
    <w:rsid w:val="00F85EC5"/>
    <w:rsid w:val="00F87A03"/>
    <w:rsid w:val="00FA019C"/>
    <w:rsid w:val="00FA0FEA"/>
    <w:rsid w:val="00FA46E4"/>
    <w:rsid w:val="00FA4916"/>
    <w:rsid w:val="00FA5BB0"/>
    <w:rsid w:val="00FA7D69"/>
    <w:rsid w:val="00FB5E69"/>
    <w:rsid w:val="00FD0027"/>
    <w:rsid w:val="00FD00DB"/>
    <w:rsid w:val="00FE1C37"/>
    <w:rsid w:val="00FE441C"/>
    <w:rsid w:val="00FE7112"/>
    <w:rsid w:val="00FE7B5C"/>
    <w:rsid w:val="00FF4579"/>
    <w:rsid w:val="00FF54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cter"/>
    <w:uiPriority w:val="34"/>
    <w:qFormat/>
    <w:rsid w:val="0089314C"/>
    <w:pPr>
      <w:ind w:left="720"/>
      <w:contextualSpacing/>
    </w:pPr>
  </w:style>
  <w:style w:type="character" w:styleId="Hiperligao">
    <w:name w:val="Hyperlink"/>
    <w:basedOn w:val="Tipodeletrapredefinidodopargrafo"/>
    <w:uiPriority w:val="99"/>
    <w:unhideWhenUsed/>
    <w:rsid w:val="00536D81"/>
    <w:rPr>
      <w:color w:val="0000FF" w:themeColor="hyperlink"/>
      <w:u w:val="single"/>
    </w:rPr>
  </w:style>
  <w:style w:type="paragraph" w:styleId="Textodebalo">
    <w:name w:val="Balloon Text"/>
    <w:basedOn w:val="Normal"/>
    <w:link w:val="TextodebaloCarcter"/>
    <w:uiPriority w:val="99"/>
    <w:semiHidden/>
    <w:unhideWhenUsed/>
    <w:rsid w:val="00435AB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5AB6"/>
    <w:rPr>
      <w:rFonts w:ascii="Tahoma" w:hAnsi="Tahoma" w:cs="Tahoma"/>
      <w:sz w:val="16"/>
      <w:szCs w:val="16"/>
    </w:rPr>
  </w:style>
  <w:style w:type="paragraph" w:customStyle="1" w:styleId="Default">
    <w:name w:val="Default"/>
    <w:rsid w:val="009B799C"/>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arcter"/>
    <w:unhideWhenUsed/>
    <w:rsid w:val="00947344"/>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47344"/>
  </w:style>
  <w:style w:type="paragraph" w:styleId="Rodap">
    <w:name w:val="footer"/>
    <w:basedOn w:val="Normal"/>
    <w:link w:val="RodapCarcter"/>
    <w:uiPriority w:val="99"/>
    <w:unhideWhenUsed/>
    <w:rsid w:val="0094734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7344"/>
  </w:style>
  <w:style w:type="paragraph" w:customStyle="1" w:styleId="bulet">
    <w:name w:val="bulet"/>
    <w:basedOn w:val="Normal"/>
    <w:uiPriority w:val="99"/>
    <w:qFormat/>
    <w:rsid w:val="008F7D41"/>
    <w:pPr>
      <w:numPr>
        <w:numId w:val="8"/>
      </w:numPr>
      <w:tabs>
        <w:tab w:val="left" w:pos="460"/>
        <w:tab w:val="left" w:pos="1420"/>
        <w:tab w:val="left" w:pos="5954"/>
        <w:tab w:val="left" w:pos="7140"/>
        <w:tab w:val="right" w:pos="7440"/>
      </w:tabs>
      <w:spacing w:before="120" w:after="120" w:line="260" w:lineRule="atLeast"/>
      <w:jc w:val="both"/>
    </w:pPr>
    <w:rPr>
      <w:rFonts w:ascii="Verdana" w:eastAsia="Calibri" w:hAnsi="Verdana" w:cs="Verdana"/>
      <w:color w:val="000000"/>
      <w:sz w:val="18"/>
      <w:szCs w:val="16"/>
    </w:rPr>
  </w:style>
  <w:style w:type="paragraph" w:customStyle="1" w:styleId="Caixatexto">
    <w:name w:val="Caixa texto"/>
    <w:basedOn w:val="Normal"/>
    <w:qFormat/>
    <w:rsid w:val="002436D2"/>
    <w:pPr>
      <w:spacing w:before="120" w:after="0" w:line="240" w:lineRule="exact"/>
      <w:jc w:val="both"/>
    </w:pPr>
    <w:rPr>
      <w:rFonts w:ascii="Trebuchet MS" w:eastAsia="PMingLiU" w:hAnsi="Trebuchet MS" w:cs="Times New Roman"/>
      <w:sz w:val="20"/>
      <w:szCs w:val="20"/>
    </w:rPr>
  </w:style>
  <w:style w:type="character" w:customStyle="1" w:styleId="PargrafodaListaCarcter">
    <w:name w:val="Parágrafo da Lista Carácter"/>
    <w:link w:val="PargrafodaLista"/>
    <w:uiPriority w:val="34"/>
    <w:rsid w:val="00EB55CE"/>
  </w:style>
  <w:style w:type="character" w:styleId="Refdecomentrio">
    <w:name w:val="annotation reference"/>
    <w:basedOn w:val="Tipodeletrapredefinidodopargrafo"/>
    <w:uiPriority w:val="99"/>
    <w:semiHidden/>
    <w:unhideWhenUsed/>
    <w:rsid w:val="00DF435F"/>
    <w:rPr>
      <w:sz w:val="16"/>
      <w:szCs w:val="16"/>
    </w:rPr>
  </w:style>
  <w:style w:type="paragraph" w:styleId="Textodecomentrio">
    <w:name w:val="annotation text"/>
    <w:basedOn w:val="Normal"/>
    <w:link w:val="TextodecomentrioCarcter"/>
    <w:uiPriority w:val="99"/>
    <w:semiHidden/>
    <w:unhideWhenUsed/>
    <w:rsid w:val="00DF435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F435F"/>
    <w:rPr>
      <w:sz w:val="20"/>
      <w:szCs w:val="20"/>
    </w:rPr>
  </w:style>
  <w:style w:type="paragraph" w:styleId="Assuntodecomentrio">
    <w:name w:val="annotation subject"/>
    <w:basedOn w:val="Textodecomentrio"/>
    <w:next w:val="Textodecomentrio"/>
    <w:link w:val="AssuntodecomentrioCarcter"/>
    <w:uiPriority w:val="99"/>
    <w:semiHidden/>
    <w:unhideWhenUsed/>
    <w:rsid w:val="00DF435F"/>
    <w:rPr>
      <w:b/>
      <w:bCs/>
    </w:rPr>
  </w:style>
  <w:style w:type="character" w:customStyle="1" w:styleId="AssuntodecomentrioCarcter">
    <w:name w:val="Assunto de comentário Carácter"/>
    <w:basedOn w:val="TextodecomentrioCarcter"/>
    <w:link w:val="Assuntodecomentrio"/>
    <w:uiPriority w:val="99"/>
    <w:semiHidden/>
    <w:rsid w:val="00DF43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cter"/>
    <w:uiPriority w:val="34"/>
    <w:qFormat/>
    <w:rsid w:val="0089314C"/>
    <w:pPr>
      <w:ind w:left="720"/>
      <w:contextualSpacing/>
    </w:pPr>
  </w:style>
  <w:style w:type="character" w:styleId="Hiperligao">
    <w:name w:val="Hyperlink"/>
    <w:basedOn w:val="Tipodeletrapredefinidodopargrafo"/>
    <w:uiPriority w:val="99"/>
    <w:unhideWhenUsed/>
    <w:rsid w:val="00536D81"/>
    <w:rPr>
      <w:color w:val="0000FF" w:themeColor="hyperlink"/>
      <w:u w:val="single"/>
    </w:rPr>
  </w:style>
  <w:style w:type="paragraph" w:styleId="Textodebalo">
    <w:name w:val="Balloon Text"/>
    <w:basedOn w:val="Normal"/>
    <w:link w:val="TextodebaloCarcter"/>
    <w:uiPriority w:val="99"/>
    <w:semiHidden/>
    <w:unhideWhenUsed/>
    <w:rsid w:val="00435AB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5AB6"/>
    <w:rPr>
      <w:rFonts w:ascii="Tahoma" w:hAnsi="Tahoma" w:cs="Tahoma"/>
      <w:sz w:val="16"/>
      <w:szCs w:val="16"/>
    </w:rPr>
  </w:style>
  <w:style w:type="paragraph" w:customStyle="1" w:styleId="Default">
    <w:name w:val="Default"/>
    <w:rsid w:val="009B799C"/>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arcter"/>
    <w:unhideWhenUsed/>
    <w:rsid w:val="00947344"/>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47344"/>
  </w:style>
  <w:style w:type="paragraph" w:styleId="Rodap">
    <w:name w:val="footer"/>
    <w:basedOn w:val="Normal"/>
    <w:link w:val="RodapCarcter"/>
    <w:uiPriority w:val="99"/>
    <w:unhideWhenUsed/>
    <w:rsid w:val="0094734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7344"/>
  </w:style>
  <w:style w:type="paragraph" w:customStyle="1" w:styleId="bulet">
    <w:name w:val="bulet"/>
    <w:basedOn w:val="Normal"/>
    <w:uiPriority w:val="99"/>
    <w:qFormat/>
    <w:rsid w:val="008F7D41"/>
    <w:pPr>
      <w:numPr>
        <w:numId w:val="8"/>
      </w:numPr>
      <w:tabs>
        <w:tab w:val="left" w:pos="460"/>
        <w:tab w:val="left" w:pos="1420"/>
        <w:tab w:val="left" w:pos="5954"/>
        <w:tab w:val="left" w:pos="7140"/>
        <w:tab w:val="right" w:pos="7440"/>
      </w:tabs>
      <w:spacing w:before="120" w:after="120" w:line="260" w:lineRule="atLeast"/>
      <w:jc w:val="both"/>
    </w:pPr>
    <w:rPr>
      <w:rFonts w:ascii="Verdana" w:eastAsia="Calibri" w:hAnsi="Verdana" w:cs="Verdana"/>
      <w:color w:val="000000"/>
      <w:sz w:val="18"/>
      <w:szCs w:val="16"/>
    </w:rPr>
  </w:style>
  <w:style w:type="paragraph" w:customStyle="1" w:styleId="Caixatexto">
    <w:name w:val="Caixa texto"/>
    <w:basedOn w:val="Normal"/>
    <w:qFormat/>
    <w:rsid w:val="002436D2"/>
    <w:pPr>
      <w:spacing w:before="120" w:after="0" w:line="240" w:lineRule="exact"/>
      <w:jc w:val="both"/>
    </w:pPr>
    <w:rPr>
      <w:rFonts w:ascii="Trebuchet MS" w:eastAsia="PMingLiU" w:hAnsi="Trebuchet MS" w:cs="Times New Roman"/>
      <w:sz w:val="20"/>
      <w:szCs w:val="20"/>
    </w:rPr>
  </w:style>
  <w:style w:type="character" w:customStyle="1" w:styleId="PargrafodaListaCarcter">
    <w:name w:val="Parágrafo da Lista Carácter"/>
    <w:link w:val="PargrafodaLista"/>
    <w:uiPriority w:val="34"/>
    <w:rsid w:val="00EB55CE"/>
  </w:style>
  <w:style w:type="character" w:styleId="Refdecomentrio">
    <w:name w:val="annotation reference"/>
    <w:basedOn w:val="Tipodeletrapredefinidodopargrafo"/>
    <w:uiPriority w:val="99"/>
    <w:semiHidden/>
    <w:unhideWhenUsed/>
    <w:rsid w:val="00DF435F"/>
    <w:rPr>
      <w:sz w:val="16"/>
      <w:szCs w:val="16"/>
    </w:rPr>
  </w:style>
  <w:style w:type="paragraph" w:styleId="Textodecomentrio">
    <w:name w:val="annotation text"/>
    <w:basedOn w:val="Normal"/>
    <w:link w:val="TextodecomentrioCarcter"/>
    <w:uiPriority w:val="99"/>
    <w:semiHidden/>
    <w:unhideWhenUsed/>
    <w:rsid w:val="00DF435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F435F"/>
    <w:rPr>
      <w:sz w:val="20"/>
      <w:szCs w:val="20"/>
    </w:rPr>
  </w:style>
  <w:style w:type="paragraph" w:styleId="Assuntodecomentrio">
    <w:name w:val="annotation subject"/>
    <w:basedOn w:val="Textodecomentrio"/>
    <w:next w:val="Textodecomentrio"/>
    <w:link w:val="AssuntodecomentrioCarcter"/>
    <w:uiPriority w:val="99"/>
    <w:semiHidden/>
    <w:unhideWhenUsed/>
    <w:rsid w:val="00DF435F"/>
    <w:rPr>
      <w:b/>
      <w:bCs/>
    </w:rPr>
  </w:style>
  <w:style w:type="character" w:customStyle="1" w:styleId="AssuntodecomentrioCarcter">
    <w:name w:val="Assunto de comentário Carácter"/>
    <w:basedOn w:val="TextodecomentrioCarcter"/>
    <w:link w:val="Assuntodecomentrio"/>
    <w:uiPriority w:val="99"/>
    <w:semiHidden/>
    <w:rsid w:val="00DF4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900">
      <w:bodyDiv w:val="1"/>
      <w:marLeft w:val="0"/>
      <w:marRight w:val="0"/>
      <w:marTop w:val="0"/>
      <w:marBottom w:val="0"/>
      <w:divBdr>
        <w:top w:val="none" w:sz="0" w:space="0" w:color="auto"/>
        <w:left w:val="none" w:sz="0" w:space="0" w:color="auto"/>
        <w:bottom w:val="none" w:sz="0" w:space="0" w:color="auto"/>
        <w:right w:val="none" w:sz="0" w:space="0" w:color="auto"/>
      </w:divBdr>
    </w:div>
    <w:div w:id="223756127">
      <w:bodyDiv w:val="1"/>
      <w:marLeft w:val="0"/>
      <w:marRight w:val="0"/>
      <w:marTop w:val="0"/>
      <w:marBottom w:val="0"/>
      <w:divBdr>
        <w:top w:val="none" w:sz="0" w:space="0" w:color="auto"/>
        <w:left w:val="none" w:sz="0" w:space="0" w:color="auto"/>
        <w:bottom w:val="none" w:sz="0" w:space="0" w:color="auto"/>
        <w:right w:val="none" w:sz="0" w:space="0" w:color="auto"/>
      </w:divBdr>
      <w:divsChild>
        <w:div w:id="1619868851">
          <w:marLeft w:val="547"/>
          <w:marRight w:val="0"/>
          <w:marTop w:val="120"/>
          <w:marBottom w:val="0"/>
          <w:divBdr>
            <w:top w:val="none" w:sz="0" w:space="0" w:color="auto"/>
            <w:left w:val="none" w:sz="0" w:space="0" w:color="auto"/>
            <w:bottom w:val="none" w:sz="0" w:space="0" w:color="auto"/>
            <w:right w:val="none" w:sz="0" w:space="0" w:color="auto"/>
          </w:divBdr>
        </w:div>
        <w:div w:id="1925185561">
          <w:marLeft w:val="547"/>
          <w:marRight w:val="0"/>
          <w:marTop w:val="120"/>
          <w:marBottom w:val="0"/>
          <w:divBdr>
            <w:top w:val="none" w:sz="0" w:space="0" w:color="auto"/>
            <w:left w:val="none" w:sz="0" w:space="0" w:color="auto"/>
            <w:bottom w:val="none" w:sz="0" w:space="0" w:color="auto"/>
            <w:right w:val="none" w:sz="0" w:space="0" w:color="auto"/>
          </w:divBdr>
        </w:div>
        <w:div w:id="832525419">
          <w:marLeft w:val="547"/>
          <w:marRight w:val="0"/>
          <w:marTop w:val="120"/>
          <w:marBottom w:val="0"/>
          <w:divBdr>
            <w:top w:val="none" w:sz="0" w:space="0" w:color="auto"/>
            <w:left w:val="none" w:sz="0" w:space="0" w:color="auto"/>
            <w:bottom w:val="none" w:sz="0" w:space="0" w:color="auto"/>
            <w:right w:val="none" w:sz="0" w:space="0" w:color="auto"/>
          </w:divBdr>
        </w:div>
        <w:div w:id="1424885314">
          <w:marLeft w:val="547"/>
          <w:marRight w:val="0"/>
          <w:marTop w:val="120"/>
          <w:marBottom w:val="0"/>
          <w:divBdr>
            <w:top w:val="none" w:sz="0" w:space="0" w:color="auto"/>
            <w:left w:val="none" w:sz="0" w:space="0" w:color="auto"/>
            <w:bottom w:val="none" w:sz="0" w:space="0" w:color="auto"/>
            <w:right w:val="none" w:sz="0" w:space="0" w:color="auto"/>
          </w:divBdr>
        </w:div>
      </w:divsChild>
    </w:div>
    <w:div w:id="231621199">
      <w:bodyDiv w:val="1"/>
      <w:marLeft w:val="0"/>
      <w:marRight w:val="0"/>
      <w:marTop w:val="0"/>
      <w:marBottom w:val="0"/>
      <w:divBdr>
        <w:top w:val="none" w:sz="0" w:space="0" w:color="auto"/>
        <w:left w:val="none" w:sz="0" w:space="0" w:color="auto"/>
        <w:bottom w:val="none" w:sz="0" w:space="0" w:color="auto"/>
        <w:right w:val="none" w:sz="0" w:space="0" w:color="auto"/>
      </w:divBdr>
    </w:div>
    <w:div w:id="303120512">
      <w:bodyDiv w:val="1"/>
      <w:marLeft w:val="0"/>
      <w:marRight w:val="0"/>
      <w:marTop w:val="0"/>
      <w:marBottom w:val="0"/>
      <w:divBdr>
        <w:top w:val="none" w:sz="0" w:space="0" w:color="auto"/>
        <w:left w:val="none" w:sz="0" w:space="0" w:color="auto"/>
        <w:bottom w:val="none" w:sz="0" w:space="0" w:color="auto"/>
        <w:right w:val="none" w:sz="0" w:space="0" w:color="auto"/>
      </w:divBdr>
    </w:div>
    <w:div w:id="768505393">
      <w:bodyDiv w:val="1"/>
      <w:marLeft w:val="0"/>
      <w:marRight w:val="0"/>
      <w:marTop w:val="0"/>
      <w:marBottom w:val="0"/>
      <w:divBdr>
        <w:top w:val="none" w:sz="0" w:space="0" w:color="auto"/>
        <w:left w:val="none" w:sz="0" w:space="0" w:color="auto"/>
        <w:bottom w:val="none" w:sz="0" w:space="0" w:color="auto"/>
        <w:right w:val="none" w:sz="0" w:space="0" w:color="auto"/>
      </w:divBdr>
    </w:div>
    <w:div w:id="825049213">
      <w:bodyDiv w:val="1"/>
      <w:marLeft w:val="0"/>
      <w:marRight w:val="0"/>
      <w:marTop w:val="0"/>
      <w:marBottom w:val="0"/>
      <w:divBdr>
        <w:top w:val="none" w:sz="0" w:space="0" w:color="auto"/>
        <w:left w:val="none" w:sz="0" w:space="0" w:color="auto"/>
        <w:bottom w:val="none" w:sz="0" w:space="0" w:color="auto"/>
        <w:right w:val="none" w:sz="0" w:space="0" w:color="auto"/>
      </w:divBdr>
    </w:div>
    <w:div w:id="1062291019">
      <w:bodyDiv w:val="1"/>
      <w:marLeft w:val="0"/>
      <w:marRight w:val="0"/>
      <w:marTop w:val="0"/>
      <w:marBottom w:val="0"/>
      <w:divBdr>
        <w:top w:val="none" w:sz="0" w:space="0" w:color="auto"/>
        <w:left w:val="none" w:sz="0" w:space="0" w:color="auto"/>
        <w:bottom w:val="none" w:sz="0" w:space="0" w:color="auto"/>
        <w:right w:val="none" w:sz="0" w:space="0" w:color="auto"/>
      </w:divBdr>
      <w:divsChild>
        <w:div w:id="999695684">
          <w:marLeft w:val="547"/>
          <w:marRight w:val="0"/>
          <w:marTop w:val="67"/>
          <w:marBottom w:val="0"/>
          <w:divBdr>
            <w:top w:val="none" w:sz="0" w:space="0" w:color="auto"/>
            <w:left w:val="none" w:sz="0" w:space="0" w:color="auto"/>
            <w:bottom w:val="none" w:sz="0" w:space="0" w:color="auto"/>
            <w:right w:val="none" w:sz="0" w:space="0" w:color="auto"/>
          </w:divBdr>
        </w:div>
      </w:divsChild>
    </w:div>
    <w:div w:id="1110516731">
      <w:bodyDiv w:val="1"/>
      <w:marLeft w:val="0"/>
      <w:marRight w:val="0"/>
      <w:marTop w:val="0"/>
      <w:marBottom w:val="0"/>
      <w:divBdr>
        <w:top w:val="none" w:sz="0" w:space="0" w:color="auto"/>
        <w:left w:val="none" w:sz="0" w:space="0" w:color="auto"/>
        <w:bottom w:val="none" w:sz="0" w:space="0" w:color="auto"/>
        <w:right w:val="none" w:sz="0" w:space="0" w:color="auto"/>
      </w:divBdr>
    </w:div>
    <w:div w:id="1130519322">
      <w:bodyDiv w:val="1"/>
      <w:marLeft w:val="0"/>
      <w:marRight w:val="0"/>
      <w:marTop w:val="0"/>
      <w:marBottom w:val="0"/>
      <w:divBdr>
        <w:top w:val="none" w:sz="0" w:space="0" w:color="auto"/>
        <w:left w:val="none" w:sz="0" w:space="0" w:color="auto"/>
        <w:bottom w:val="none" w:sz="0" w:space="0" w:color="auto"/>
        <w:right w:val="none" w:sz="0" w:space="0" w:color="auto"/>
      </w:divBdr>
    </w:div>
    <w:div w:id="1234462256">
      <w:bodyDiv w:val="1"/>
      <w:marLeft w:val="0"/>
      <w:marRight w:val="0"/>
      <w:marTop w:val="0"/>
      <w:marBottom w:val="0"/>
      <w:divBdr>
        <w:top w:val="none" w:sz="0" w:space="0" w:color="auto"/>
        <w:left w:val="none" w:sz="0" w:space="0" w:color="auto"/>
        <w:bottom w:val="none" w:sz="0" w:space="0" w:color="auto"/>
        <w:right w:val="none" w:sz="0" w:space="0" w:color="auto"/>
      </w:divBdr>
    </w:div>
    <w:div w:id="1328829886">
      <w:bodyDiv w:val="1"/>
      <w:marLeft w:val="0"/>
      <w:marRight w:val="0"/>
      <w:marTop w:val="0"/>
      <w:marBottom w:val="0"/>
      <w:divBdr>
        <w:top w:val="none" w:sz="0" w:space="0" w:color="auto"/>
        <w:left w:val="none" w:sz="0" w:space="0" w:color="auto"/>
        <w:bottom w:val="none" w:sz="0" w:space="0" w:color="auto"/>
        <w:right w:val="none" w:sz="0" w:space="0" w:color="auto"/>
      </w:divBdr>
    </w:div>
    <w:div w:id="1417091184">
      <w:bodyDiv w:val="1"/>
      <w:marLeft w:val="0"/>
      <w:marRight w:val="0"/>
      <w:marTop w:val="0"/>
      <w:marBottom w:val="0"/>
      <w:divBdr>
        <w:top w:val="none" w:sz="0" w:space="0" w:color="auto"/>
        <w:left w:val="none" w:sz="0" w:space="0" w:color="auto"/>
        <w:bottom w:val="none" w:sz="0" w:space="0" w:color="auto"/>
        <w:right w:val="none" w:sz="0" w:space="0" w:color="auto"/>
      </w:divBdr>
    </w:div>
    <w:div w:id="1484660651">
      <w:bodyDiv w:val="1"/>
      <w:marLeft w:val="0"/>
      <w:marRight w:val="0"/>
      <w:marTop w:val="0"/>
      <w:marBottom w:val="0"/>
      <w:divBdr>
        <w:top w:val="none" w:sz="0" w:space="0" w:color="auto"/>
        <w:left w:val="none" w:sz="0" w:space="0" w:color="auto"/>
        <w:bottom w:val="none" w:sz="0" w:space="0" w:color="auto"/>
        <w:right w:val="none" w:sz="0" w:space="0" w:color="auto"/>
      </w:divBdr>
      <w:divsChild>
        <w:div w:id="1943873948">
          <w:marLeft w:val="0"/>
          <w:marRight w:val="0"/>
          <w:marTop w:val="0"/>
          <w:marBottom w:val="0"/>
          <w:divBdr>
            <w:top w:val="none" w:sz="0" w:space="0" w:color="auto"/>
            <w:left w:val="none" w:sz="0" w:space="0" w:color="auto"/>
            <w:bottom w:val="none" w:sz="0" w:space="0" w:color="auto"/>
            <w:right w:val="none" w:sz="0" w:space="0" w:color="auto"/>
          </w:divBdr>
        </w:div>
      </w:divsChild>
    </w:div>
    <w:div w:id="1652245766">
      <w:bodyDiv w:val="1"/>
      <w:marLeft w:val="0"/>
      <w:marRight w:val="0"/>
      <w:marTop w:val="0"/>
      <w:marBottom w:val="0"/>
      <w:divBdr>
        <w:top w:val="none" w:sz="0" w:space="0" w:color="auto"/>
        <w:left w:val="none" w:sz="0" w:space="0" w:color="auto"/>
        <w:bottom w:val="none" w:sz="0" w:space="0" w:color="auto"/>
        <w:right w:val="none" w:sz="0" w:space="0" w:color="auto"/>
      </w:divBdr>
    </w:div>
    <w:div w:id="1821262102">
      <w:bodyDiv w:val="1"/>
      <w:marLeft w:val="0"/>
      <w:marRight w:val="0"/>
      <w:marTop w:val="0"/>
      <w:marBottom w:val="0"/>
      <w:divBdr>
        <w:top w:val="none" w:sz="0" w:space="0" w:color="auto"/>
        <w:left w:val="none" w:sz="0" w:space="0" w:color="auto"/>
        <w:bottom w:val="none" w:sz="0" w:space="0" w:color="auto"/>
        <w:right w:val="none" w:sz="0" w:space="0" w:color="auto"/>
      </w:divBdr>
    </w:div>
    <w:div w:id="1851484513">
      <w:bodyDiv w:val="1"/>
      <w:marLeft w:val="0"/>
      <w:marRight w:val="0"/>
      <w:marTop w:val="0"/>
      <w:marBottom w:val="0"/>
      <w:divBdr>
        <w:top w:val="none" w:sz="0" w:space="0" w:color="auto"/>
        <w:left w:val="none" w:sz="0" w:space="0" w:color="auto"/>
        <w:bottom w:val="none" w:sz="0" w:space="0" w:color="auto"/>
        <w:right w:val="none" w:sz="0" w:space="0" w:color="auto"/>
      </w:divBdr>
    </w:div>
    <w:div w:id="1922327842">
      <w:bodyDiv w:val="1"/>
      <w:marLeft w:val="0"/>
      <w:marRight w:val="0"/>
      <w:marTop w:val="0"/>
      <w:marBottom w:val="0"/>
      <w:divBdr>
        <w:top w:val="none" w:sz="0" w:space="0" w:color="auto"/>
        <w:left w:val="none" w:sz="0" w:space="0" w:color="auto"/>
        <w:bottom w:val="none" w:sz="0" w:space="0" w:color="auto"/>
        <w:right w:val="none" w:sz="0" w:space="0" w:color="auto"/>
      </w:divBdr>
      <w:divsChild>
        <w:div w:id="1089234213">
          <w:marLeft w:val="288"/>
          <w:marRight w:val="0"/>
          <w:marTop w:val="240"/>
          <w:marBottom w:val="120"/>
          <w:divBdr>
            <w:top w:val="none" w:sz="0" w:space="0" w:color="auto"/>
            <w:left w:val="none" w:sz="0" w:space="0" w:color="auto"/>
            <w:bottom w:val="none" w:sz="0" w:space="0" w:color="auto"/>
            <w:right w:val="none" w:sz="0" w:space="0" w:color="auto"/>
          </w:divBdr>
        </w:div>
        <w:div w:id="1011370819">
          <w:marLeft w:val="288"/>
          <w:marRight w:val="0"/>
          <w:marTop w:val="120"/>
          <w:marBottom w:val="120"/>
          <w:divBdr>
            <w:top w:val="none" w:sz="0" w:space="0" w:color="auto"/>
            <w:left w:val="none" w:sz="0" w:space="0" w:color="auto"/>
            <w:bottom w:val="none" w:sz="0" w:space="0" w:color="auto"/>
            <w:right w:val="none" w:sz="0" w:space="0" w:color="auto"/>
          </w:divBdr>
        </w:div>
        <w:div w:id="1140072535">
          <w:marLeft w:val="288"/>
          <w:marRight w:val="0"/>
          <w:marTop w:val="120"/>
          <w:marBottom w:val="120"/>
          <w:divBdr>
            <w:top w:val="none" w:sz="0" w:space="0" w:color="auto"/>
            <w:left w:val="none" w:sz="0" w:space="0" w:color="auto"/>
            <w:bottom w:val="none" w:sz="0" w:space="0" w:color="auto"/>
            <w:right w:val="none" w:sz="0" w:space="0" w:color="auto"/>
          </w:divBdr>
        </w:div>
        <w:div w:id="933586901">
          <w:marLeft w:val="288"/>
          <w:marRight w:val="0"/>
          <w:marTop w:val="120"/>
          <w:marBottom w:val="120"/>
          <w:divBdr>
            <w:top w:val="none" w:sz="0" w:space="0" w:color="auto"/>
            <w:left w:val="none" w:sz="0" w:space="0" w:color="auto"/>
            <w:bottom w:val="none" w:sz="0" w:space="0" w:color="auto"/>
            <w:right w:val="none" w:sz="0" w:space="0" w:color="auto"/>
          </w:divBdr>
        </w:div>
      </w:divsChild>
    </w:div>
    <w:div w:id="1975325659">
      <w:bodyDiv w:val="1"/>
      <w:marLeft w:val="0"/>
      <w:marRight w:val="0"/>
      <w:marTop w:val="0"/>
      <w:marBottom w:val="0"/>
      <w:divBdr>
        <w:top w:val="none" w:sz="0" w:space="0" w:color="auto"/>
        <w:left w:val="none" w:sz="0" w:space="0" w:color="auto"/>
        <w:bottom w:val="none" w:sz="0" w:space="0" w:color="auto"/>
        <w:right w:val="none" w:sz="0" w:space="0" w:color="auto"/>
      </w:divBdr>
    </w:div>
    <w:div w:id="20193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A8D3-13F0-4AF2-B500-0E645BF4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D6433F5A</Template>
  <TotalTime>0</TotalTime>
  <Pages>6</Pages>
  <Words>2386</Words>
  <Characters>12889</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MF. Reis</dc:creator>
  <cp:lastModifiedBy>Filomena CAT. Noronha</cp:lastModifiedBy>
  <cp:revision>2</cp:revision>
  <cp:lastPrinted>2016-11-11T18:59:00Z</cp:lastPrinted>
  <dcterms:created xsi:type="dcterms:W3CDTF">2016-11-29T17:41:00Z</dcterms:created>
  <dcterms:modified xsi:type="dcterms:W3CDTF">2016-11-29T17:41:00Z</dcterms:modified>
</cp:coreProperties>
</file>